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12" w:type="dxa"/>
        <w:tblInd w:w="-292" w:type="dxa"/>
        <w:tblLayout w:type="fixed"/>
        <w:tblLook w:val="01E0" w:firstRow="1" w:lastRow="1" w:firstColumn="1" w:lastColumn="1" w:noHBand="0" w:noVBand="0"/>
      </w:tblPr>
      <w:tblGrid>
        <w:gridCol w:w="1900"/>
        <w:gridCol w:w="3200"/>
        <w:gridCol w:w="1400"/>
        <w:gridCol w:w="3412"/>
      </w:tblGrid>
      <w:tr w:rsidR="005C586C" w:rsidRPr="0047744B" w14:paraId="364FEE83" w14:textId="77777777" w:rsidTr="00A17E33">
        <w:trPr>
          <w:cantSplit/>
        </w:trPr>
        <w:tc>
          <w:tcPr>
            <w:tcW w:w="1900" w:type="dxa"/>
            <w:vMerge w:val="restart"/>
            <w:tcBorders>
              <w:bottom w:val="double" w:sz="4" w:space="0" w:color="auto"/>
            </w:tcBorders>
          </w:tcPr>
          <w:p w14:paraId="6F44E1A8" w14:textId="77777777" w:rsidR="005C586C" w:rsidRPr="0047744B" w:rsidRDefault="005C586C" w:rsidP="00A17E33">
            <w:pPr>
              <w:spacing w:before="40" w:after="40"/>
              <w:rPr>
                <w:lang w:val="en-GB" w:eastAsia="en-US"/>
              </w:rPr>
            </w:pPr>
            <w:r w:rsidRPr="0047744B">
              <w:rPr>
                <w:b/>
                <w:sz w:val="20"/>
                <w:lang w:eastAsia="en-US"/>
              </w:rPr>
              <w:br w:type="page"/>
            </w:r>
            <w:r w:rsidRPr="0047744B">
              <w:rPr>
                <w:sz w:val="20"/>
                <w:lang w:eastAsia="en-US"/>
              </w:rPr>
              <w:br w:type="page"/>
            </w:r>
            <w:r w:rsidRPr="0047744B">
              <w:rPr>
                <w:noProof/>
              </w:rPr>
              <w:drawing>
                <wp:inline distT="0" distB="0" distL="0" distR="0" wp14:anchorId="7DCCA0A0" wp14:editId="2E3B1755">
                  <wp:extent cx="1078230" cy="983615"/>
                  <wp:effectExtent l="19050" t="0" r="7620" b="0"/>
                  <wp:docPr id="2" name="Picture 1" descr="logo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230" cy="983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12" w:type="dxa"/>
            <w:gridSpan w:val="3"/>
          </w:tcPr>
          <w:p w14:paraId="4091D973" w14:textId="77777777" w:rsidR="005C586C" w:rsidRPr="0047744B" w:rsidRDefault="005C586C" w:rsidP="00A17E33">
            <w:pPr>
              <w:keepNext/>
              <w:spacing w:after="60"/>
              <w:jc w:val="center"/>
              <w:outlineLvl w:val="2"/>
              <w:rPr>
                <w:rFonts w:ascii="Bookman Old Style" w:hAnsi="Bookman Old Style" w:cs="Arial"/>
                <w:bCs/>
                <w:i/>
                <w:sz w:val="36"/>
                <w:szCs w:val="36"/>
                <w:lang w:val="en-GB" w:eastAsia="en-US"/>
              </w:rPr>
            </w:pPr>
            <w:r w:rsidRPr="0047744B">
              <w:rPr>
                <w:rFonts w:ascii="Bookman Old Style" w:hAnsi="Bookman Old Style" w:cs="Arial"/>
                <w:bCs/>
                <w:i/>
                <w:sz w:val="36"/>
                <w:szCs w:val="36"/>
                <w:lang w:val="en-GB" w:eastAsia="en-US"/>
              </w:rPr>
              <w:t>SrednjaškolaBuzet</w:t>
            </w:r>
          </w:p>
        </w:tc>
      </w:tr>
      <w:tr w:rsidR="005C586C" w:rsidRPr="0047744B" w14:paraId="48C28B3B" w14:textId="77777777" w:rsidTr="00A17E33">
        <w:trPr>
          <w:cantSplit/>
        </w:trPr>
        <w:tc>
          <w:tcPr>
            <w:tcW w:w="1900" w:type="dxa"/>
            <w:vMerge/>
            <w:tcBorders>
              <w:bottom w:val="double" w:sz="4" w:space="0" w:color="auto"/>
            </w:tcBorders>
          </w:tcPr>
          <w:p w14:paraId="337DFA59" w14:textId="77777777" w:rsidR="005C586C" w:rsidRPr="0047744B" w:rsidRDefault="005C586C" w:rsidP="00A17E33">
            <w:pPr>
              <w:spacing w:before="40" w:after="40"/>
              <w:rPr>
                <w:lang w:val="en-GB" w:eastAsia="en-US"/>
              </w:rPr>
            </w:pPr>
          </w:p>
        </w:tc>
        <w:tc>
          <w:tcPr>
            <w:tcW w:w="8012" w:type="dxa"/>
            <w:gridSpan w:val="3"/>
          </w:tcPr>
          <w:p w14:paraId="02F9EB3F" w14:textId="77777777" w:rsidR="005C586C" w:rsidRPr="0047744B" w:rsidRDefault="005C586C" w:rsidP="00A17E33">
            <w:pPr>
              <w:spacing w:before="40" w:after="40"/>
              <w:jc w:val="center"/>
              <w:rPr>
                <w:rFonts w:ascii="Bookman Old Style" w:hAnsi="Bookman Old Style"/>
                <w:lang w:val="it-IT" w:eastAsia="en-US"/>
              </w:rPr>
            </w:pPr>
            <w:r w:rsidRPr="0047744B">
              <w:rPr>
                <w:rFonts w:ascii="Bookman Old Style" w:hAnsi="Bookman Old Style"/>
                <w:lang w:val="it-IT" w:eastAsia="en-US"/>
              </w:rPr>
              <w:t>52420 Buzet, AntunaCerovca-Tončića 7        oib: 93755291191</w:t>
            </w:r>
          </w:p>
        </w:tc>
      </w:tr>
      <w:tr w:rsidR="005C586C" w:rsidRPr="0047744B" w14:paraId="3800D201" w14:textId="77777777" w:rsidTr="00A17E33">
        <w:trPr>
          <w:cantSplit/>
        </w:trPr>
        <w:tc>
          <w:tcPr>
            <w:tcW w:w="1900" w:type="dxa"/>
            <w:vMerge/>
            <w:tcBorders>
              <w:bottom w:val="double" w:sz="4" w:space="0" w:color="auto"/>
            </w:tcBorders>
          </w:tcPr>
          <w:p w14:paraId="6A642AE1" w14:textId="77777777" w:rsidR="005C586C" w:rsidRPr="0047744B" w:rsidRDefault="005C586C" w:rsidP="00A17E33">
            <w:pPr>
              <w:spacing w:before="40" w:after="40"/>
              <w:rPr>
                <w:lang w:val="it-IT" w:eastAsia="en-US"/>
              </w:rPr>
            </w:pPr>
          </w:p>
        </w:tc>
        <w:tc>
          <w:tcPr>
            <w:tcW w:w="8012" w:type="dxa"/>
            <w:gridSpan w:val="3"/>
          </w:tcPr>
          <w:p w14:paraId="1FCDDF6B" w14:textId="77777777" w:rsidR="005C586C" w:rsidRPr="0047744B" w:rsidRDefault="005C586C" w:rsidP="00A17E33">
            <w:pPr>
              <w:spacing w:before="40" w:after="40"/>
              <w:jc w:val="center"/>
              <w:rPr>
                <w:rFonts w:ascii="Bookman Old Style" w:hAnsi="Bookman Old Style"/>
                <w:lang w:val="en-GB" w:eastAsia="en-US"/>
              </w:rPr>
            </w:pPr>
            <w:r w:rsidRPr="0047744B">
              <w:rPr>
                <w:rFonts w:ascii="Bookman Old Style" w:hAnsi="Bookman Old Style"/>
                <w:lang w:val="en-GB" w:eastAsia="en-US"/>
              </w:rPr>
              <w:t>tel. 052/662-764, 662-707  fax 052/662-056GSM 091/526-0421</w:t>
            </w:r>
          </w:p>
        </w:tc>
      </w:tr>
      <w:tr w:rsidR="005C586C" w:rsidRPr="0047744B" w14:paraId="55878A1A" w14:textId="77777777" w:rsidTr="00A17E33">
        <w:trPr>
          <w:cantSplit/>
          <w:trHeight w:val="382"/>
        </w:trPr>
        <w:tc>
          <w:tcPr>
            <w:tcW w:w="1900" w:type="dxa"/>
            <w:vMerge/>
            <w:tcBorders>
              <w:bottom w:val="double" w:sz="4" w:space="0" w:color="auto"/>
            </w:tcBorders>
          </w:tcPr>
          <w:p w14:paraId="12854ACE" w14:textId="77777777" w:rsidR="005C586C" w:rsidRPr="0047744B" w:rsidRDefault="005C586C" w:rsidP="00A17E33">
            <w:pPr>
              <w:spacing w:before="40" w:after="40"/>
              <w:rPr>
                <w:lang w:val="en-GB" w:eastAsia="en-US"/>
              </w:rPr>
            </w:pPr>
          </w:p>
        </w:tc>
        <w:tc>
          <w:tcPr>
            <w:tcW w:w="3200" w:type="dxa"/>
            <w:tcBorders>
              <w:bottom w:val="double" w:sz="4" w:space="0" w:color="auto"/>
            </w:tcBorders>
          </w:tcPr>
          <w:p w14:paraId="1E937D88" w14:textId="77777777" w:rsidR="005C586C" w:rsidRPr="0047744B" w:rsidRDefault="005C586C" w:rsidP="00A17E33">
            <w:pPr>
              <w:spacing w:before="40" w:after="40"/>
              <w:jc w:val="right"/>
              <w:rPr>
                <w:rFonts w:ascii="Bookman Old Style" w:hAnsi="Bookman Old Style"/>
                <w:sz w:val="21"/>
                <w:szCs w:val="21"/>
                <w:lang w:val="fr-FR" w:eastAsia="en-US"/>
              </w:rPr>
            </w:pPr>
            <w:r w:rsidRPr="0047744B">
              <w:rPr>
                <w:rFonts w:ascii="Bookman Old Style" w:hAnsi="Bookman Old Style"/>
                <w:sz w:val="21"/>
                <w:szCs w:val="21"/>
                <w:lang w:val="fr-FR" w:eastAsia="en-US"/>
              </w:rPr>
              <w:t>e-mail: ss-buzet@ri.t-com.hr</w:t>
            </w:r>
          </w:p>
        </w:tc>
        <w:tc>
          <w:tcPr>
            <w:tcW w:w="1400" w:type="dxa"/>
            <w:tcBorders>
              <w:bottom w:val="double" w:sz="4" w:space="0" w:color="auto"/>
            </w:tcBorders>
          </w:tcPr>
          <w:p w14:paraId="1B4382D4" w14:textId="77777777" w:rsidR="005C586C" w:rsidRPr="0047744B" w:rsidRDefault="005C586C" w:rsidP="00A17E33">
            <w:pPr>
              <w:spacing w:before="40" w:after="40"/>
              <w:rPr>
                <w:rFonts w:ascii="Bookman Old Style" w:hAnsi="Bookman Old Style"/>
                <w:sz w:val="21"/>
                <w:szCs w:val="21"/>
                <w:lang w:val="fr-FR" w:eastAsia="en-US"/>
              </w:rPr>
            </w:pPr>
          </w:p>
        </w:tc>
        <w:tc>
          <w:tcPr>
            <w:tcW w:w="3412" w:type="dxa"/>
            <w:tcBorders>
              <w:bottom w:val="double" w:sz="4" w:space="0" w:color="auto"/>
            </w:tcBorders>
          </w:tcPr>
          <w:p w14:paraId="07FED03E" w14:textId="77777777" w:rsidR="005C586C" w:rsidRPr="0047744B" w:rsidRDefault="005C586C" w:rsidP="00A17E33">
            <w:pPr>
              <w:spacing w:before="40" w:after="40"/>
              <w:ind w:right="-888"/>
              <w:rPr>
                <w:rFonts w:ascii="Bookman Old Style" w:hAnsi="Bookman Old Style"/>
                <w:sz w:val="21"/>
                <w:szCs w:val="21"/>
                <w:lang w:val="fr-FR" w:eastAsia="en-US"/>
              </w:rPr>
            </w:pPr>
            <w:r w:rsidRPr="0047744B">
              <w:rPr>
                <w:rFonts w:ascii="Bookman Old Style" w:hAnsi="Bookman Old Style"/>
                <w:sz w:val="21"/>
                <w:szCs w:val="21"/>
                <w:lang w:val="fr-FR" w:eastAsia="en-US"/>
              </w:rPr>
              <w:t>http://www.ss-buzet.skole.hr</w:t>
            </w:r>
          </w:p>
        </w:tc>
      </w:tr>
    </w:tbl>
    <w:p w14:paraId="4742B70E" w14:textId="0501415E" w:rsidR="00DB0BA5" w:rsidRPr="00DB0BA5" w:rsidRDefault="00DB0BA5" w:rsidP="005C586C">
      <w:pPr>
        <w:rPr>
          <w:rFonts w:ascii="Arial" w:hAnsi="Arial" w:cs="Arial"/>
          <w:sz w:val="20"/>
        </w:rPr>
      </w:pPr>
    </w:p>
    <w:p w14:paraId="65757D82" w14:textId="5A57378E" w:rsidR="005C586C" w:rsidRPr="00EB3CD9" w:rsidRDefault="002F6EC6" w:rsidP="005C586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Buzet, </w:t>
      </w:r>
      <w:r w:rsidR="006E6364">
        <w:rPr>
          <w:rFonts w:ascii="Arial" w:hAnsi="Arial" w:cs="Arial"/>
          <w:sz w:val="20"/>
        </w:rPr>
        <w:t>28. srpnja</w:t>
      </w:r>
      <w:r w:rsidR="009F0CFE">
        <w:rPr>
          <w:rFonts w:ascii="Arial" w:hAnsi="Arial" w:cs="Arial"/>
          <w:sz w:val="20"/>
        </w:rPr>
        <w:t xml:space="preserve"> </w:t>
      </w:r>
      <w:r w:rsidR="005C586C" w:rsidRPr="00EB3CD9">
        <w:rPr>
          <w:rFonts w:ascii="Arial" w:hAnsi="Arial" w:cs="Arial"/>
          <w:sz w:val="20"/>
        </w:rPr>
        <w:t>202</w:t>
      </w:r>
      <w:r w:rsidR="005A2081">
        <w:rPr>
          <w:rFonts w:ascii="Arial" w:hAnsi="Arial" w:cs="Arial"/>
          <w:sz w:val="20"/>
        </w:rPr>
        <w:t>5</w:t>
      </w:r>
      <w:r w:rsidR="005C586C" w:rsidRPr="00EB3CD9">
        <w:rPr>
          <w:rFonts w:ascii="Arial" w:hAnsi="Arial" w:cs="Arial"/>
          <w:sz w:val="20"/>
        </w:rPr>
        <w:t>. godine</w:t>
      </w:r>
    </w:p>
    <w:p w14:paraId="675CD3DE" w14:textId="77777777" w:rsidR="005C586C" w:rsidRPr="005C586C" w:rsidRDefault="005C586C" w:rsidP="005C586C">
      <w:pPr>
        <w:jc w:val="center"/>
        <w:rPr>
          <w:rFonts w:ascii="Arial" w:hAnsi="Arial" w:cs="Arial"/>
          <w:b/>
          <w:sz w:val="22"/>
          <w:szCs w:val="22"/>
        </w:rPr>
      </w:pPr>
    </w:p>
    <w:p w14:paraId="6F38DE36" w14:textId="77777777" w:rsidR="005C586C" w:rsidRPr="005C586C" w:rsidRDefault="005C586C" w:rsidP="005C586C">
      <w:pPr>
        <w:jc w:val="center"/>
        <w:rPr>
          <w:rFonts w:ascii="Arial" w:hAnsi="Arial" w:cs="Arial"/>
          <w:b/>
          <w:sz w:val="22"/>
          <w:szCs w:val="22"/>
        </w:rPr>
      </w:pPr>
    </w:p>
    <w:p w14:paraId="5A8F0A68" w14:textId="77777777" w:rsidR="00343531" w:rsidRDefault="005C586C" w:rsidP="00343531">
      <w:pPr>
        <w:jc w:val="center"/>
        <w:rPr>
          <w:rFonts w:ascii="Arial" w:hAnsi="Arial" w:cs="Arial"/>
          <w:b/>
          <w:sz w:val="22"/>
          <w:szCs w:val="22"/>
        </w:rPr>
      </w:pPr>
      <w:r w:rsidRPr="005C586C">
        <w:rPr>
          <w:rFonts w:ascii="Arial" w:hAnsi="Arial" w:cs="Arial"/>
          <w:b/>
          <w:sz w:val="22"/>
          <w:szCs w:val="22"/>
        </w:rPr>
        <w:t xml:space="preserve">OBRAZLOŽENJE  </w:t>
      </w:r>
      <w:r w:rsidR="00343531">
        <w:rPr>
          <w:rFonts w:ascii="Arial" w:hAnsi="Arial" w:cs="Arial"/>
          <w:b/>
          <w:sz w:val="22"/>
          <w:szCs w:val="22"/>
        </w:rPr>
        <w:t xml:space="preserve">POLUGODIŠNJEG </w:t>
      </w:r>
      <w:r w:rsidRPr="005C586C">
        <w:rPr>
          <w:rFonts w:ascii="Arial" w:hAnsi="Arial" w:cs="Arial"/>
          <w:b/>
          <w:sz w:val="22"/>
          <w:szCs w:val="22"/>
        </w:rPr>
        <w:t xml:space="preserve">IZVJEŠTAJA </w:t>
      </w:r>
    </w:p>
    <w:p w14:paraId="033C64F1" w14:textId="51923E00" w:rsidR="005C586C" w:rsidRPr="005C586C" w:rsidRDefault="005C586C" w:rsidP="00343531">
      <w:pPr>
        <w:jc w:val="center"/>
        <w:rPr>
          <w:rFonts w:ascii="Arial" w:hAnsi="Arial" w:cs="Arial"/>
          <w:b/>
          <w:sz w:val="22"/>
          <w:szCs w:val="22"/>
        </w:rPr>
      </w:pPr>
      <w:r w:rsidRPr="005C586C">
        <w:rPr>
          <w:rFonts w:ascii="Arial" w:hAnsi="Arial" w:cs="Arial"/>
          <w:b/>
          <w:sz w:val="22"/>
          <w:szCs w:val="22"/>
        </w:rPr>
        <w:t>O IZVRŠENJU FINANCIJSKOG PLANA</w:t>
      </w:r>
      <w:r w:rsidR="00725165">
        <w:rPr>
          <w:rFonts w:ascii="Arial" w:hAnsi="Arial" w:cs="Arial"/>
          <w:b/>
          <w:sz w:val="22"/>
          <w:szCs w:val="22"/>
        </w:rPr>
        <w:t xml:space="preserve"> ZA</w:t>
      </w:r>
      <w:r w:rsidR="009F0CFE">
        <w:rPr>
          <w:rFonts w:ascii="Arial" w:hAnsi="Arial" w:cs="Arial"/>
          <w:b/>
          <w:sz w:val="22"/>
          <w:szCs w:val="22"/>
        </w:rPr>
        <w:t xml:space="preserve"> </w:t>
      </w:r>
      <w:r w:rsidR="00725165">
        <w:rPr>
          <w:rFonts w:ascii="Arial" w:hAnsi="Arial" w:cs="Arial"/>
          <w:b/>
          <w:sz w:val="22"/>
          <w:szCs w:val="22"/>
        </w:rPr>
        <w:t>202</w:t>
      </w:r>
      <w:r w:rsidR="005A2081">
        <w:rPr>
          <w:rFonts w:ascii="Arial" w:hAnsi="Arial" w:cs="Arial"/>
          <w:b/>
          <w:sz w:val="22"/>
          <w:szCs w:val="22"/>
        </w:rPr>
        <w:t>5</w:t>
      </w:r>
      <w:r w:rsidRPr="005C586C">
        <w:rPr>
          <w:rFonts w:ascii="Arial" w:hAnsi="Arial" w:cs="Arial"/>
          <w:b/>
          <w:sz w:val="22"/>
          <w:szCs w:val="22"/>
        </w:rPr>
        <w:t>. GODINU</w:t>
      </w:r>
    </w:p>
    <w:p w14:paraId="3EF92208" w14:textId="77777777" w:rsidR="005C586C" w:rsidRPr="005C586C" w:rsidRDefault="005C586C" w:rsidP="005C586C">
      <w:pPr>
        <w:jc w:val="center"/>
        <w:rPr>
          <w:rFonts w:ascii="Arial" w:hAnsi="Arial" w:cs="Arial"/>
          <w:b/>
          <w:sz w:val="22"/>
          <w:szCs w:val="22"/>
        </w:rPr>
      </w:pPr>
    </w:p>
    <w:p w14:paraId="400155BF" w14:textId="77777777" w:rsidR="005C586C" w:rsidRPr="005C586C" w:rsidRDefault="005C586C" w:rsidP="00225B2D">
      <w:pPr>
        <w:rPr>
          <w:rFonts w:ascii="Arial" w:hAnsi="Arial" w:cs="Arial"/>
          <w:b/>
          <w:sz w:val="22"/>
          <w:szCs w:val="22"/>
        </w:rPr>
      </w:pPr>
    </w:p>
    <w:p w14:paraId="0E435CED" w14:textId="77777777" w:rsidR="00981A2B" w:rsidRPr="00EB3CD9" w:rsidRDefault="005C586C">
      <w:pPr>
        <w:rPr>
          <w:rFonts w:ascii="Arial" w:hAnsi="Arial" w:cs="Arial"/>
          <w:sz w:val="20"/>
        </w:rPr>
      </w:pPr>
      <w:r w:rsidRPr="00EB3CD9">
        <w:rPr>
          <w:rFonts w:ascii="Arial" w:hAnsi="Arial" w:cs="Arial"/>
          <w:sz w:val="20"/>
        </w:rPr>
        <w:t xml:space="preserve">Broj  RKP: 17101 </w:t>
      </w:r>
    </w:p>
    <w:p w14:paraId="4950B016" w14:textId="4315F81F" w:rsidR="00666D5A" w:rsidRDefault="00666D5A">
      <w:pPr>
        <w:rPr>
          <w:rFonts w:ascii="Arial" w:hAnsi="Arial" w:cs="Arial"/>
          <w:sz w:val="20"/>
        </w:rPr>
      </w:pPr>
    </w:p>
    <w:p w14:paraId="3CDC9CCC" w14:textId="3CA1FFF1" w:rsidR="002062D9" w:rsidRPr="002062D9" w:rsidRDefault="002062D9">
      <w:pPr>
        <w:rPr>
          <w:rFonts w:ascii="Arial" w:hAnsi="Arial" w:cs="Arial"/>
          <w:b/>
          <w:bCs/>
          <w:sz w:val="20"/>
        </w:rPr>
      </w:pPr>
      <w:r w:rsidRPr="002062D9">
        <w:rPr>
          <w:rFonts w:ascii="Arial" w:hAnsi="Arial" w:cs="Arial"/>
          <w:b/>
          <w:bCs/>
          <w:sz w:val="20"/>
        </w:rPr>
        <w:t>Sažetak djelokruga rada</w:t>
      </w:r>
    </w:p>
    <w:p w14:paraId="48849608" w14:textId="7719A508" w:rsidR="00E86FA1" w:rsidRPr="00F10C29" w:rsidRDefault="005C586C" w:rsidP="005C586C">
      <w:pPr>
        <w:jc w:val="both"/>
        <w:rPr>
          <w:rFonts w:ascii="Arial" w:hAnsi="Arial" w:cs="Arial"/>
          <w:sz w:val="20"/>
        </w:rPr>
      </w:pPr>
      <w:r w:rsidRPr="00F10C29">
        <w:rPr>
          <w:rFonts w:ascii="Arial" w:hAnsi="Arial" w:cs="Arial"/>
          <w:sz w:val="20"/>
        </w:rPr>
        <w:t xml:space="preserve">Srednja škola Buzet </w:t>
      </w:r>
      <w:r w:rsidR="00666D5A" w:rsidRPr="00F10C29">
        <w:rPr>
          <w:rFonts w:ascii="Arial" w:hAnsi="Arial" w:cs="Arial"/>
          <w:sz w:val="20"/>
        </w:rPr>
        <w:t xml:space="preserve">(u daljnjem tekstu: Škola) </w:t>
      </w:r>
      <w:r w:rsidRPr="00F10C29">
        <w:rPr>
          <w:rFonts w:ascii="Arial" w:hAnsi="Arial" w:cs="Arial"/>
          <w:sz w:val="20"/>
        </w:rPr>
        <w:t>proračunski</w:t>
      </w:r>
      <w:r w:rsidR="004527AB">
        <w:rPr>
          <w:rFonts w:ascii="Arial" w:hAnsi="Arial" w:cs="Arial"/>
          <w:sz w:val="20"/>
        </w:rPr>
        <w:t xml:space="preserve"> je</w:t>
      </w:r>
      <w:r w:rsidRPr="00F10C29">
        <w:rPr>
          <w:rFonts w:ascii="Arial" w:hAnsi="Arial" w:cs="Arial"/>
          <w:sz w:val="20"/>
        </w:rPr>
        <w:t xml:space="preserve"> korisnik jedinice p</w:t>
      </w:r>
      <w:r w:rsidR="004527AB">
        <w:rPr>
          <w:rFonts w:ascii="Arial" w:hAnsi="Arial" w:cs="Arial"/>
          <w:sz w:val="20"/>
        </w:rPr>
        <w:t>odručne (regionalne) samouprave</w:t>
      </w:r>
      <w:r w:rsidR="00BA2C63" w:rsidRPr="00F10C29">
        <w:rPr>
          <w:rFonts w:ascii="Arial" w:hAnsi="Arial" w:cs="Arial"/>
          <w:sz w:val="20"/>
        </w:rPr>
        <w:t xml:space="preserve"> čija osnivačka prava obavlja Istarska županija.</w:t>
      </w:r>
    </w:p>
    <w:p w14:paraId="217C9756" w14:textId="77777777" w:rsidR="00E86FA1" w:rsidRPr="00F10C29" w:rsidRDefault="00E86FA1" w:rsidP="00E86FA1">
      <w:pPr>
        <w:jc w:val="both"/>
        <w:rPr>
          <w:rFonts w:ascii="Arial" w:hAnsi="Arial" w:cs="Arial"/>
          <w:sz w:val="20"/>
        </w:rPr>
      </w:pPr>
      <w:r w:rsidRPr="00F10C29">
        <w:rPr>
          <w:rFonts w:ascii="Arial" w:hAnsi="Arial" w:cs="Arial"/>
          <w:sz w:val="20"/>
        </w:rPr>
        <w:t>Škola je javna ustanova koja obavlja djelatnost srednjeg odgoja i obrazovanja u skladu s aktom o osnivanju Škole i rješenjima ministarstva nadležnog za poslove obrazovanja.</w:t>
      </w:r>
    </w:p>
    <w:p w14:paraId="43C67D55" w14:textId="77777777" w:rsidR="00E86FA1" w:rsidRPr="00F10C29" w:rsidRDefault="00E86FA1" w:rsidP="00E86FA1">
      <w:pPr>
        <w:jc w:val="both"/>
        <w:rPr>
          <w:rFonts w:ascii="Arial" w:hAnsi="Arial" w:cs="Arial"/>
          <w:sz w:val="20"/>
        </w:rPr>
      </w:pPr>
      <w:r w:rsidRPr="00F10C29">
        <w:rPr>
          <w:rFonts w:ascii="Arial" w:hAnsi="Arial" w:cs="Arial"/>
          <w:sz w:val="20"/>
        </w:rPr>
        <w:t>Djelatnost Škole obuhvaća odgoj i obrazovanje te izvođenje programa srednjoškolskog obrazovanja mladeži i odraslih za stjecanje srednje i niže stručne spreme, programe osposobljavanja i usavršavanja za zanimanja te djelatnost autoškole. Djelatnost, odnosno programe, Škola ostvaruje na osnovi propisanog nastavnog plana i programa.</w:t>
      </w:r>
    </w:p>
    <w:p w14:paraId="111539A5" w14:textId="1F175DBF" w:rsidR="00B1334E" w:rsidRDefault="00B1334E" w:rsidP="00B1334E">
      <w:pPr>
        <w:jc w:val="both"/>
        <w:rPr>
          <w:rFonts w:ascii="Arial" w:hAnsi="Arial" w:cs="Arial"/>
          <w:sz w:val="20"/>
        </w:rPr>
      </w:pPr>
      <w:r w:rsidRPr="00B1334E">
        <w:rPr>
          <w:rFonts w:ascii="Arial" w:hAnsi="Arial" w:cs="Arial"/>
          <w:sz w:val="20"/>
        </w:rPr>
        <w:t>Redovno obrazovanje u školskog godini 202</w:t>
      </w:r>
      <w:r w:rsidR="005A2081">
        <w:rPr>
          <w:rFonts w:ascii="Arial" w:hAnsi="Arial" w:cs="Arial"/>
          <w:sz w:val="20"/>
        </w:rPr>
        <w:t>4</w:t>
      </w:r>
      <w:r w:rsidRPr="00B1334E">
        <w:rPr>
          <w:rFonts w:ascii="Arial" w:hAnsi="Arial" w:cs="Arial"/>
          <w:sz w:val="20"/>
        </w:rPr>
        <w:t>./202</w:t>
      </w:r>
      <w:r w:rsidR="005A2081">
        <w:rPr>
          <w:rFonts w:ascii="Arial" w:hAnsi="Arial" w:cs="Arial"/>
          <w:sz w:val="20"/>
        </w:rPr>
        <w:t>5</w:t>
      </w:r>
      <w:r w:rsidRPr="00B1334E">
        <w:rPr>
          <w:rFonts w:ascii="Arial" w:hAnsi="Arial" w:cs="Arial"/>
          <w:sz w:val="20"/>
        </w:rPr>
        <w:t xml:space="preserve">. organizirano je kroz trogodišnje strukovno obrazovanje (strojarstvo, elektrotehnika) za </w:t>
      </w:r>
      <w:r w:rsidR="003F2456">
        <w:rPr>
          <w:rFonts w:ascii="Arial" w:hAnsi="Arial" w:cs="Arial"/>
          <w:sz w:val="20"/>
        </w:rPr>
        <w:t>56</w:t>
      </w:r>
      <w:r w:rsidRPr="00B1334E">
        <w:rPr>
          <w:rFonts w:ascii="Arial" w:hAnsi="Arial" w:cs="Arial"/>
          <w:sz w:val="20"/>
        </w:rPr>
        <w:t xml:space="preserve"> učenika, četverogodišnje strukovno obrazovanje (elektrotehnika) za 7</w:t>
      </w:r>
      <w:r w:rsidR="003F2456">
        <w:rPr>
          <w:rFonts w:ascii="Arial" w:hAnsi="Arial" w:cs="Arial"/>
          <w:sz w:val="20"/>
        </w:rPr>
        <w:t>9</w:t>
      </w:r>
      <w:r w:rsidRPr="00B1334E">
        <w:rPr>
          <w:rFonts w:ascii="Arial" w:hAnsi="Arial" w:cs="Arial"/>
          <w:sz w:val="20"/>
        </w:rPr>
        <w:t xml:space="preserve"> učenika, te  program opće gimnazije za </w:t>
      </w:r>
      <w:r w:rsidR="003F2456">
        <w:rPr>
          <w:rFonts w:ascii="Arial" w:hAnsi="Arial" w:cs="Arial"/>
          <w:sz w:val="20"/>
        </w:rPr>
        <w:t>67</w:t>
      </w:r>
      <w:r w:rsidR="001C04C8">
        <w:rPr>
          <w:rFonts w:ascii="Arial" w:hAnsi="Arial" w:cs="Arial"/>
          <w:sz w:val="20"/>
        </w:rPr>
        <w:t xml:space="preserve"> </w:t>
      </w:r>
      <w:r w:rsidRPr="00B1334E">
        <w:rPr>
          <w:rFonts w:ascii="Arial" w:hAnsi="Arial" w:cs="Arial"/>
          <w:sz w:val="20"/>
        </w:rPr>
        <w:t xml:space="preserve">učenika što ukupno iznosi </w:t>
      </w:r>
      <w:r w:rsidR="003F2456">
        <w:rPr>
          <w:rFonts w:ascii="Arial" w:hAnsi="Arial" w:cs="Arial"/>
          <w:sz w:val="20"/>
        </w:rPr>
        <w:t>202</w:t>
      </w:r>
      <w:r w:rsidRPr="00B1334E">
        <w:rPr>
          <w:rFonts w:ascii="Arial" w:hAnsi="Arial" w:cs="Arial"/>
          <w:sz w:val="20"/>
        </w:rPr>
        <w:t xml:space="preserve"> učenika.</w:t>
      </w:r>
    </w:p>
    <w:p w14:paraId="7512BB79" w14:textId="5836D4EB" w:rsidR="00913E05" w:rsidRPr="00E36AC6" w:rsidRDefault="00913E05" w:rsidP="00913E05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 Školi je ukupno zaposlen</w:t>
      </w:r>
      <w:r w:rsidR="00E626A7">
        <w:rPr>
          <w:rFonts w:ascii="Arial" w:hAnsi="Arial" w:cs="Arial"/>
          <w:sz w:val="20"/>
        </w:rPr>
        <w:t>o</w:t>
      </w:r>
      <w:r w:rsidRPr="00E36AC6">
        <w:rPr>
          <w:rFonts w:ascii="Arial" w:hAnsi="Arial" w:cs="Arial"/>
          <w:sz w:val="20"/>
        </w:rPr>
        <w:t xml:space="preserve"> </w:t>
      </w:r>
      <w:r w:rsidR="00C92F11">
        <w:rPr>
          <w:rFonts w:ascii="Arial" w:hAnsi="Arial" w:cs="Arial"/>
          <w:sz w:val="20"/>
        </w:rPr>
        <w:t>38</w:t>
      </w:r>
      <w:r>
        <w:rPr>
          <w:rFonts w:ascii="Arial" w:hAnsi="Arial" w:cs="Arial"/>
          <w:sz w:val="20"/>
        </w:rPr>
        <w:t xml:space="preserve"> djelatnika i to:</w:t>
      </w:r>
      <w:r w:rsidRPr="00E36AC6">
        <w:rPr>
          <w:rFonts w:ascii="Arial" w:hAnsi="Arial" w:cs="Arial"/>
          <w:sz w:val="20"/>
        </w:rPr>
        <w:t xml:space="preserve"> </w:t>
      </w:r>
      <w:r w:rsidR="00C92F11">
        <w:rPr>
          <w:rFonts w:ascii="Arial" w:hAnsi="Arial" w:cs="Arial"/>
          <w:sz w:val="20"/>
        </w:rPr>
        <w:t>28</w:t>
      </w:r>
      <w:r w:rsidR="00E626A7">
        <w:rPr>
          <w:rFonts w:ascii="Arial" w:hAnsi="Arial" w:cs="Arial"/>
          <w:sz w:val="20"/>
        </w:rPr>
        <w:t xml:space="preserve"> nastavnik</w:t>
      </w:r>
      <w:r w:rsidR="00767D16">
        <w:rPr>
          <w:rFonts w:ascii="Arial" w:hAnsi="Arial" w:cs="Arial"/>
          <w:sz w:val="20"/>
        </w:rPr>
        <w:t>a</w:t>
      </w:r>
      <w:r w:rsidRPr="00E36AC6">
        <w:rPr>
          <w:rFonts w:ascii="Arial" w:hAnsi="Arial" w:cs="Arial"/>
          <w:sz w:val="20"/>
        </w:rPr>
        <w:t xml:space="preserve">, jedan stručni suradnik, </w:t>
      </w:r>
      <w:r w:rsidR="008927F2">
        <w:rPr>
          <w:rFonts w:ascii="Arial" w:hAnsi="Arial" w:cs="Arial"/>
          <w:sz w:val="20"/>
        </w:rPr>
        <w:t>6</w:t>
      </w:r>
      <w:r w:rsidRPr="00E36AC6">
        <w:rPr>
          <w:rFonts w:ascii="Arial" w:hAnsi="Arial" w:cs="Arial"/>
          <w:sz w:val="20"/>
        </w:rPr>
        <w:t xml:space="preserve"> administrativno tehničkih djelatni</w:t>
      </w:r>
      <w:r>
        <w:rPr>
          <w:rFonts w:ascii="Arial" w:hAnsi="Arial" w:cs="Arial"/>
          <w:sz w:val="20"/>
        </w:rPr>
        <w:t>ka,</w:t>
      </w:r>
      <w:r w:rsidRPr="00E36AC6">
        <w:rPr>
          <w:rFonts w:ascii="Arial" w:hAnsi="Arial" w:cs="Arial"/>
          <w:sz w:val="20"/>
        </w:rPr>
        <w:t xml:space="preserve"> dva djelatnika autoškole i ravnateljica.</w:t>
      </w:r>
    </w:p>
    <w:p w14:paraId="3090DED9" w14:textId="0D27F7CF" w:rsidR="00666D5A" w:rsidRDefault="00666D5A" w:rsidP="00666D5A">
      <w:pPr>
        <w:jc w:val="both"/>
        <w:rPr>
          <w:rFonts w:ascii="Arial" w:hAnsi="Arial" w:cs="Arial"/>
          <w:sz w:val="20"/>
        </w:rPr>
      </w:pPr>
    </w:p>
    <w:p w14:paraId="515A67FC" w14:textId="64FF72B1" w:rsidR="002062D9" w:rsidRPr="002062D9" w:rsidRDefault="002062D9" w:rsidP="00666D5A">
      <w:pPr>
        <w:jc w:val="both"/>
        <w:rPr>
          <w:rFonts w:ascii="Arial" w:hAnsi="Arial" w:cs="Arial"/>
          <w:b/>
          <w:bCs/>
          <w:sz w:val="20"/>
        </w:rPr>
      </w:pPr>
      <w:r w:rsidRPr="002062D9">
        <w:rPr>
          <w:rFonts w:ascii="Arial" w:hAnsi="Arial" w:cs="Arial"/>
          <w:b/>
          <w:bCs/>
          <w:sz w:val="20"/>
        </w:rPr>
        <w:t>Obrazloženje općeg dijela</w:t>
      </w:r>
    </w:p>
    <w:p w14:paraId="771D8F5A" w14:textId="6A04FA77" w:rsidR="00D41AEA" w:rsidRDefault="00BA2C63" w:rsidP="005C586C">
      <w:pPr>
        <w:jc w:val="both"/>
        <w:rPr>
          <w:rFonts w:ascii="Arial" w:hAnsi="Arial" w:cs="Arial"/>
          <w:sz w:val="20"/>
        </w:rPr>
      </w:pPr>
      <w:r w:rsidRPr="00F10C29">
        <w:rPr>
          <w:rFonts w:ascii="Arial" w:hAnsi="Arial" w:cs="Arial"/>
          <w:sz w:val="20"/>
        </w:rPr>
        <w:t xml:space="preserve">Ukupni prihodi za </w:t>
      </w:r>
      <w:r w:rsidR="009F0CFE">
        <w:rPr>
          <w:rFonts w:ascii="Arial" w:hAnsi="Arial" w:cs="Arial"/>
          <w:sz w:val="20"/>
        </w:rPr>
        <w:t xml:space="preserve">prvo </w:t>
      </w:r>
      <w:r w:rsidR="00B8012C">
        <w:rPr>
          <w:rFonts w:ascii="Arial" w:hAnsi="Arial" w:cs="Arial"/>
          <w:sz w:val="20"/>
        </w:rPr>
        <w:t xml:space="preserve">polugodišnje razdoblje </w:t>
      </w:r>
      <w:r w:rsidRPr="00F10C29">
        <w:rPr>
          <w:rFonts w:ascii="Arial" w:hAnsi="Arial" w:cs="Arial"/>
          <w:sz w:val="20"/>
        </w:rPr>
        <w:t>202</w:t>
      </w:r>
      <w:r w:rsidR="00710E75">
        <w:rPr>
          <w:rFonts w:ascii="Arial" w:hAnsi="Arial" w:cs="Arial"/>
          <w:sz w:val="20"/>
        </w:rPr>
        <w:t>5</w:t>
      </w:r>
      <w:r w:rsidR="009B3DFC" w:rsidRPr="00F10C29">
        <w:rPr>
          <w:rFonts w:ascii="Arial" w:hAnsi="Arial" w:cs="Arial"/>
          <w:sz w:val="20"/>
        </w:rPr>
        <w:t>. godin</w:t>
      </w:r>
      <w:r w:rsidR="00B8012C">
        <w:rPr>
          <w:rFonts w:ascii="Arial" w:hAnsi="Arial" w:cs="Arial"/>
          <w:sz w:val="20"/>
        </w:rPr>
        <w:t>e</w:t>
      </w:r>
      <w:r w:rsidR="009B3DFC" w:rsidRPr="00F10C29">
        <w:rPr>
          <w:rFonts w:ascii="Arial" w:hAnsi="Arial" w:cs="Arial"/>
          <w:sz w:val="20"/>
        </w:rPr>
        <w:t xml:space="preserve"> iznosili su </w:t>
      </w:r>
      <w:r w:rsidR="00710E75">
        <w:rPr>
          <w:rFonts w:ascii="Arial" w:hAnsi="Arial" w:cs="Arial"/>
          <w:sz w:val="20"/>
        </w:rPr>
        <w:t>619.796,70</w:t>
      </w:r>
      <w:r w:rsidR="009B3DFC" w:rsidRPr="00F10C29">
        <w:rPr>
          <w:rFonts w:ascii="Arial" w:hAnsi="Arial" w:cs="Arial"/>
          <w:sz w:val="20"/>
        </w:rPr>
        <w:t xml:space="preserve"> </w:t>
      </w:r>
      <w:r w:rsidR="00346337">
        <w:rPr>
          <w:rFonts w:ascii="Arial" w:hAnsi="Arial" w:cs="Arial"/>
          <w:sz w:val="20"/>
        </w:rPr>
        <w:t>eura</w:t>
      </w:r>
      <w:r w:rsidR="009B3DFC" w:rsidRPr="00F10C29">
        <w:rPr>
          <w:rFonts w:ascii="Arial" w:hAnsi="Arial" w:cs="Arial"/>
          <w:sz w:val="20"/>
        </w:rPr>
        <w:t xml:space="preserve"> što je </w:t>
      </w:r>
      <w:r w:rsidR="00705E3E">
        <w:rPr>
          <w:rFonts w:ascii="Arial" w:hAnsi="Arial" w:cs="Arial"/>
          <w:sz w:val="20"/>
        </w:rPr>
        <w:t>48,</w:t>
      </w:r>
      <w:r w:rsidR="00710E75">
        <w:rPr>
          <w:rFonts w:ascii="Arial" w:hAnsi="Arial" w:cs="Arial"/>
          <w:sz w:val="20"/>
        </w:rPr>
        <w:t>0</w:t>
      </w:r>
      <w:r w:rsidR="00705E3E">
        <w:rPr>
          <w:rFonts w:ascii="Arial" w:hAnsi="Arial" w:cs="Arial"/>
          <w:sz w:val="20"/>
        </w:rPr>
        <w:t>6</w:t>
      </w:r>
      <w:r w:rsidR="009B3DFC" w:rsidRPr="00F10C29">
        <w:rPr>
          <w:rFonts w:ascii="Arial" w:hAnsi="Arial" w:cs="Arial"/>
          <w:sz w:val="20"/>
        </w:rPr>
        <w:t xml:space="preserve"> %  od ukupno planiranih prihoda</w:t>
      </w:r>
      <w:r w:rsidR="00EA659E">
        <w:rPr>
          <w:rFonts w:ascii="Arial" w:hAnsi="Arial" w:cs="Arial"/>
          <w:sz w:val="20"/>
        </w:rPr>
        <w:t xml:space="preserve"> na godišnjoj razini</w:t>
      </w:r>
      <w:r w:rsidR="006241AC" w:rsidRPr="00F10C29">
        <w:rPr>
          <w:rFonts w:ascii="Arial" w:hAnsi="Arial" w:cs="Arial"/>
          <w:sz w:val="20"/>
        </w:rPr>
        <w:t>,</w:t>
      </w:r>
      <w:r w:rsidR="001E530F" w:rsidRPr="00F10C29">
        <w:rPr>
          <w:rFonts w:ascii="Arial" w:hAnsi="Arial" w:cs="Arial"/>
          <w:sz w:val="20"/>
        </w:rPr>
        <w:t xml:space="preserve"> a </w:t>
      </w:r>
      <w:r w:rsidR="00346337">
        <w:rPr>
          <w:rFonts w:ascii="Arial" w:hAnsi="Arial" w:cs="Arial"/>
          <w:sz w:val="20"/>
        </w:rPr>
        <w:t>11</w:t>
      </w:r>
      <w:r w:rsidR="00710E75">
        <w:rPr>
          <w:rFonts w:ascii="Arial" w:hAnsi="Arial" w:cs="Arial"/>
          <w:sz w:val="20"/>
        </w:rPr>
        <w:t>0</w:t>
      </w:r>
      <w:r w:rsidR="00346337">
        <w:rPr>
          <w:rFonts w:ascii="Arial" w:hAnsi="Arial" w:cs="Arial"/>
          <w:sz w:val="20"/>
        </w:rPr>
        <w:t>,</w:t>
      </w:r>
      <w:r w:rsidR="00710E75">
        <w:rPr>
          <w:rFonts w:ascii="Arial" w:hAnsi="Arial" w:cs="Arial"/>
          <w:sz w:val="20"/>
        </w:rPr>
        <w:t>56</w:t>
      </w:r>
      <w:r w:rsidR="001E530F" w:rsidRPr="00F10C29">
        <w:rPr>
          <w:rFonts w:ascii="Arial" w:hAnsi="Arial" w:cs="Arial"/>
          <w:sz w:val="20"/>
        </w:rPr>
        <w:t xml:space="preserve"> % u odnosu na</w:t>
      </w:r>
      <w:r w:rsidR="00EA659E">
        <w:rPr>
          <w:rFonts w:ascii="Arial" w:hAnsi="Arial" w:cs="Arial"/>
          <w:sz w:val="20"/>
        </w:rPr>
        <w:t xml:space="preserve"> polugodišnje</w:t>
      </w:r>
      <w:r w:rsidR="005C1D78" w:rsidRPr="00F10C29">
        <w:rPr>
          <w:rFonts w:ascii="Arial" w:hAnsi="Arial" w:cs="Arial"/>
          <w:sz w:val="20"/>
        </w:rPr>
        <w:t xml:space="preserve"> izvršenje iz 202</w:t>
      </w:r>
      <w:r w:rsidR="00710E75">
        <w:rPr>
          <w:rFonts w:ascii="Arial" w:hAnsi="Arial" w:cs="Arial"/>
          <w:sz w:val="20"/>
        </w:rPr>
        <w:t>4</w:t>
      </w:r>
      <w:r w:rsidR="002B65E4" w:rsidRPr="00F10C29">
        <w:rPr>
          <w:rFonts w:ascii="Arial" w:hAnsi="Arial" w:cs="Arial"/>
          <w:sz w:val="20"/>
        </w:rPr>
        <w:t>. godine</w:t>
      </w:r>
      <w:r w:rsidR="001E530F" w:rsidRPr="00F10C29">
        <w:rPr>
          <w:rFonts w:ascii="Arial" w:hAnsi="Arial" w:cs="Arial"/>
          <w:sz w:val="20"/>
        </w:rPr>
        <w:t>.</w:t>
      </w:r>
      <w:r w:rsidR="00D41AEA">
        <w:rPr>
          <w:rFonts w:ascii="Arial" w:hAnsi="Arial" w:cs="Arial"/>
          <w:sz w:val="20"/>
        </w:rPr>
        <w:t xml:space="preserve"> </w:t>
      </w:r>
      <w:r w:rsidR="001E530F" w:rsidRPr="00F10C29">
        <w:rPr>
          <w:rFonts w:ascii="Arial" w:hAnsi="Arial" w:cs="Arial"/>
          <w:sz w:val="20"/>
        </w:rPr>
        <w:t xml:space="preserve">Ukupni prihod </w:t>
      </w:r>
      <w:r w:rsidR="006241AC" w:rsidRPr="00F10C29">
        <w:rPr>
          <w:rFonts w:ascii="Arial" w:hAnsi="Arial" w:cs="Arial"/>
          <w:sz w:val="20"/>
        </w:rPr>
        <w:t xml:space="preserve"> sastoj</w:t>
      </w:r>
      <w:r w:rsidR="001E530F" w:rsidRPr="00F10C29">
        <w:rPr>
          <w:rFonts w:ascii="Arial" w:hAnsi="Arial" w:cs="Arial"/>
          <w:sz w:val="20"/>
        </w:rPr>
        <w:t>i se</w:t>
      </w:r>
      <w:r w:rsidR="006241AC" w:rsidRPr="00F10C29">
        <w:rPr>
          <w:rFonts w:ascii="Arial" w:hAnsi="Arial" w:cs="Arial"/>
          <w:sz w:val="20"/>
        </w:rPr>
        <w:t xml:space="preserve"> od </w:t>
      </w:r>
      <w:r w:rsidR="00D41AEA">
        <w:rPr>
          <w:rFonts w:ascii="Arial" w:hAnsi="Arial" w:cs="Arial"/>
          <w:sz w:val="20"/>
        </w:rPr>
        <w:t>pomoći iz inozemstva i od subjekta unutar općeg proračuna (</w:t>
      </w:r>
      <w:r w:rsidR="000A7618">
        <w:rPr>
          <w:rFonts w:ascii="Arial" w:hAnsi="Arial" w:cs="Arial"/>
          <w:sz w:val="20"/>
        </w:rPr>
        <w:t>račun</w:t>
      </w:r>
      <w:r w:rsidR="00D41AEA">
        <w:rPr>
          <w:rFonts w:ascii="Arial" w:hAnsi="Arial" w:cs="Arial"/>
          <w:sz w:val="20"/>
        </w:rPr>
        <w:t xml:space="preserve"> 63), prihoda od administrativnih pristojbi i po posebnim propisima (</w:t>
      </w:r>
      <w:r w:rsidR="000A7618">
        <w:rPr>
          <w:rFonts w:ascii="Arial" w:hAnsi="Arial" w:cs="Arial"/>
          <w:sz w:val="20"/>
        </w:rPr>
        <w:t>račun</w:t>
      </w:r>
      <w:r w:rsidR="00D41AEA">
        <w:rPr>
          <w:rFonts w:ascii="Arial" w:hAnsi="Arial" w:cs="Arial"/>
          <w:sz w:val="20"/>
        </w:rPr>
        <w:t xml:space="preserve"> 65), prihoda od prodaje proizvoda i robe te pruženih usluga</w:t>
      </w:r>
      <w:r w:rsidR="00767D16">
        <w:rPr>
          <w:rFonts w:ascii="Arial" w:hAnsi="Arial" w:cs="Arial"/>
          <w:sz w:val="20"/>
        </w:rPr>
        <w:t>, prihoda</w:t>
      </w:r>
      <w:r w:rsidR="00D41AEA">
        <w:rPr>
          <w:rFonts w:ascii="Arial" w:hAnsi="Arial" w:cs="Arial"/>
          <w:sz w:val="20"/>
        </w:rPr>
        <w:t xml:space="preserve"> od donacija (</w:t>
      </w:r>
      <w:r w:rsidR="000A7618">
        <w:rPr>
          <w:rFonts w:ascii="Arial" w:hAnsi="Arial" w:cs="Arial"/>
          <w:sz w:val="20"/>
        </w:rPr>
        <w:t>račun</w:t>
      </w:r>
      <w:r w:rsidR="00D41AEA">
        <w:rPr>
          <w:rFonts w:ascii="Arial" w:hAnsi="Arial" w:cs="Arial"/>
          <w:sz w:val="20"/>
        </w:rPr>
        <w:t xml:space="preserve"> 66)</w:t>
      </w:r>
      <w:r w:rsidR="007F2875">
        <w:rPr>
          <w:rFonts w:ascii="Arial" w:hAnsi="Arial" w:cs="Arial"/>
          <w:sz w:val="20"/>
        </w:rPr>
        <w:t>,</w:t>
      </w:r>
      <w:r w:rsidR="00002658">
        <w:rPr>
          <w:rFonts w:ascii="Arial" w:hAnsi="Arial" w:cs="Arial"/>
          <w:sz w:val="20"/>
        </w:rPr>
        <w:t xml:space="preserve"> prihoda iz nadležnog proračuna (</w:t>
      </w:r>
      <w:r w:rsidR="000A7618">
        <w:rPr>
          <w:rFonts w:ascii="Arial" w:hAnsi="Arial" w:cs="Arial"/>
          <w:sz w:val="20"/>
        </w:rPr>
        <w:t>račun</w:t>
      </w:r>
      <w:r w:rsidR="00002658">
        <w:rPr>
          <w:rFonts w:ascii="Arial" w:hAnsi="Arial" w:cs="Arial"/>
          <w:sz w:val="20"/>
        </w:rPr>
        <w:t xml:space="preserve"> 67)</w:t>
      </w:r>
      <w:r w:rsidR="007F2875">
        <w:rPr>
          <w:rFonts w:ascii="Arial" w:hAnsi="Arial" w:cs="Arial"/>
          <w:sz w:val="20"/>
        </w:rPr>
        <w:t xml:space="preserve"> te prihoda od prodaje proizvedene dugotrajne imovine (račun 72)</w:t>
      </w:r>
      <w:r w:rsidR="00002658">
        <w:rPr>
          <w:rFonts w:ascii="Arial" w:hAnsi="Arial" w:cs="Arial"/>
          <w:sz w:val="20"/>
        </w:rPr>
        <w:t>.</w:t>
      </w:r>
    </w:p>
    <w:p w14:paraId="6CCCFC94" w14:textId="5912A557" w:rsidR="00992069" w:rsidRDefault="00992069" w:rsidP="005C586C">
      <w:pPr>
        <w:jc w:val="both"/>
        <w:rPr>
          <w:rFonts w:ascii="Arial" w:hAnsi="Arial" w:cs="Arial"/>
          <w:sz w:val="20"/>
        </w:rPr>
      </w:pPr>
    </w:p>
    <w:p w14:paraId="3B5DE12F" w14:textId="51C296B6" w:rsidR="00F40B0C" w:rsidRDefault="00F40B0C" w:rsidP="005C586C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Pomoći od nenadležnog proračuna</w:t>
      </w:r>
      <w:r w:rsidR="00EC1F26">
        <w:rPr>
          <w:rFonts w:ascii="Arial" w:hAnsi="Arial" w:cs="Arial"/>
          <w:sz w:val="20"/>
        </w:rPr>
        <w:t xml:space="preserve"> (račun 63) ostvarene</w:t>
      </w:r>
      <w:r>
        <w:rPr>
          <w:rFonts w:ascii="Arial" w:hAnsi="Arial" w:cs="Arial"/>
          <w:sz w:val="20"/>
        </w:rPr>
        <w:t xml:space="preserve"> </w:t>
      </w:r>
      <w:r w:rsidRPr="00F10C29">
        <w:rPr>
          <w:rFonts w:ascii="Arial" w:hAnsi="Arial" w:cs="Arial"/>
          <w:sz w:val="20"/>
        </w:rPr>
        <w:t xml:space="preserve">su u visini </w:t>
      </w:r>
      <w:r w:rsidR="00710E75">
        <w:rPr>
          <w:rFonts w:ascii="Arial" w:hAnsi="Arial" w:cs="Arial"/>
          <w:sz w:val="20"/>
        </w:rPr>
        <w:t>490.669,56</w:t>
      </w:r>
      <w:r>
        <w:rPr>
          <w:rFonts w:ascii="Arial" w:hAnsi="Arial" w:cs="Arial"/>
          <w:sz w:val="20"/>
        </w:rPr>
        <w:t xml:space="preserve"> eura </w:t>
      </w:r>
      <w:r w:rsidRPr="00F10C29">
        <w:rPr>
          <w:rFonts w:ascii="Arial" w:hAnsi="Arial" w:cs="Arial"/>
          <w:sz w:val="20"/>
        </w:rPr>
        <w:t xml:space="preserve">što predstavlja  </w:t>
      </w:r>
      <w:r w:rsidR="00710E75">
        <w:rPr>
          <w:rFonts w:ascii="Arial" w:hAnsi="Arial" w:cs="Arial"/>
          <w:sz w:val="20"/>
        </w:rPr>
        <w:t>48,62</w:t>
      </w:r>
      <w:r>
        <w:rPr>
          <w:rFonts w:ascii="Arial" w:hAnsi="Arial" w:cs="Arial"/>
          <w:sz w:val="20"/>
        </w:rPr>
        <w:t xml:space="preserve"> </w:t>
      </w:r>
      <w:r w:rsidRPr="00F10C29">
        <w:rPr>
          <w:rFonts w:ascii="Arial" w:hAnsi="Arial" w:cs="Arial"/>
          <w:sz w:val="20"/>
        </w:rPr>
        <w:t>% u odnosu na</w:t>
      </w:r>
      <w:r>
        <w:rPr>
          <w:rFonts w:ascii="Arial" w:hAnsi="Arial" w:cs="Arial"/>
          <w:sz w:val="20"/>
        </w:rPr>
        <w:t xml:space="preserve"> godišnji</w:t>
      </w:r>
      <w:r w:rsidRPr="00F10C29">
        <w:rPr>
          <w:rFonts w:ascii="Arial" w:hAnsi="Arial" w:cs="Arial"/>
          <w:sz w:val="20"/>
        </w:rPr>
        <w:t xml:space="preserve"> plan, a </w:t>
      </w:r>
      <w:r w:rsidR="00710E75">
        <w:rPr>
          <w:rFonts w:ascii="Arial" w:hAnsi="Arial" w:cs="Arial"/>
          <w:sz w:val="20"/>
        </w:rPr>
        <w:t>111,08</w:t>
      </w:r>
      <w:r w:rsidRPr="00F10C29">
        <w:rPr>
          <w:rFonts w:ascii="Arial" w:hAnsi="Arial" w:cs="Arial"/>
          <w:sz w:val="20"/>
        </w:rPr>
        <w:t xml:space="preserve"> % u odnosu na</w:t>
      </w:r>
      <w:r>
        <w:rPr>
          <w:rFonts w:ascii="Arial" w:hAnsi="Arial" w:cs="Arial"/>
          <w:sz w:val="20"/>
        </w:rPr>
        <w:t xml:space="preserve"> polugodišnje</w:t>
      </w:r>
      <w:r w:rsidRPr="00F10C29">
        <w:rPr>
          <w:rFonts w:ascii="Arial" w:hAnsi="Arial" w:cs="Arial"/>
          <w:sz w:val="20"/>
        </w:rPr>
        <w:t xml:space="preserve"> izvršenje iz 202</w:t>
      </w:r>
      <w:r w:rsidR="00710E75">
        <w:rPr>
          <w:rFonts w:ascii="Arial" w:hAnsi="Arial" w:cs="Arial"/>
          <w:sz w:val="20"/>
        </w:rPr>
        <w:t>4</w:t>
      </w:r>
      <w:r w:rsidRPr="00F10C29">
        <w:rPr>
          <w:rFonts w:ascii="Arial" w:hAnsi="Arial" w:cs="Arial"/>
          <w:sz w:val="20"/>
        </w:rPr>
        <w:t>. godine. Radi se o sredstvima državnog proračuna koja se osigu</w:t>
      </w:r>
      <w:r w:rsidR="0085521D">
        <w:rPr>
          <w:rFonts w:ascii="Arial" w:hAnsi="Arial" w:cs="Arial"/>
          <w:sz w:val="20"/>
        </w:rPr>
        <w:t>ravaju za isplatu plaća</w:t>
      </w:r>
      <w:r>
        <w:rPr>
          <w:rFonts w:ascii="Arial" w:hAnsi="Arial" w:cs="Arial"/>
          <w:sz w:val="20"/>
        </w:rPr>
        <w:t xml:space="preserve"> i materijalnih prava radnika (regresa,</w:t>
      </w:r>
      <w:r w:rsidR="00710E75">
        <w:rPr>
          <w:rFonts w:ascii="Arial" w:hAnsi="Arial" w:cs="Arial"/>
          <w:sz w:val="20"/>
        </w:rPr>
        <w:t xml:space="preserve"> uskrsnice</w:t>
      </w:r>
      <w:r>
        <w:rPr>
          <w:rFonts w:ascii="Arial" w:hAnsi="Arial" w:cs="Arial"/>
          <w:sz w:val="20"/>
        </w:rPr>
        <w:t>)</w:t>
      </w:r>
      <w:r w:rsidRPr="00F10C29">
        <w:rPr>
          <w:rFonts w:ascii="Arial" w:hAnsi="Arial" w:cs="Arial"/>
          <w:sz w:val="20"/>
        </w:rPr>
        <w:t xml:space="preserve"> te </w:t>
      </w:r>
      <w:r>
        <w:rPr>
          <w:rFonts w:ascii="Arial" w:hAnsi="Arial" w:cs="Arial"/>
          <w:sz w:val="20"/>
        </w:rPr>
        <w:t xml:space="preserve"> manjim dijelom o </w:t>
      </w:r>
      <w:r w:rsidRPr="00F10C29">
        <w:rPr>
          <w:rFonts w:ascii="Arial" w:hAnsi="Arial" w:cs="Arial"/>
          <w:sz w:val="20"/>
        </w:rPr>
        <w:t xml:space="preserve">sredstvima </w:t>
      </w:r>
      <w:r>
        <w:rPr>
          <w:rFonts w:ascii="Arial" w:hAnsi="Arial" w:cs="Arial"/>
          <w:sz w:val="20"/>
        </w:rPr>
        <w:t>za isplatu školske sheme voća i higijenske potrepštine</w:t>
      </w:r>
      <w:r w:rsidRPr="00F40B0C">
        <w:rPr>
          <w:rFonts w:ascii="Arial" w:hAnsi="Arial" w:cs="Arial"/>
          <w:sz w:val="20"/>
        </w:rPr>
        <w:t xml:space="preserve">. </w:t>
      </w:r>
    </w:p>
    <w:p w14:paraId="0FD2EA92" w14:textId="52C038B2" w:rsidR="00FF77A3" w:rsidRDefault="00FF77A3" w:rsidP="00FF77A3">
      <w:pPr>
        <w:jc w:val="both"/>
        <w:rPr>
          <w:rFonts w:ascii="Arial" w:hAnsi="Arial" w:cs="Arial"/>
          <w:sz w:val="20"/>
        </w:rPr>
      </w:pPr>
      <w:r w:rsidRPr="00F10C29">
        <w:rPr>
          <w:rFonts w:ascii="Arial" w:hAnsi="Arial" w:cs="Arial"/>
          <w:sz w:val="20"/>
        </w:rPr>
        <w:t xml:space="preserve">Prihodi po posebnim propisima (račun 65) ostvareni su u visini </w:t>
      </w:r>
      <w:r w:rsidR="00710E75">
        <w:rPr>
          <w:rFonts w:ascii="Arial" w:hAnsi="Arial" w:cs="Arial"/>
          <w:sz w:val="20"/>
        </w:rPr>
        <w:t>2.476,41</w:t>
      </w:r>
      <w:r>
        <w:rPr>
          <w:rFonts w:ascii="Arial" w:hAnsi="Arial" w:cs="Arial"/>
          <w:sz w:val="20"/>
        </w:rPr>
        <w:t xml:space="preserve"> eura</w:t>
      </w:r>
      <w:r w:rsidRPr="00F10C29">
        <w:rPr>
          <w:rFonts w:ascii="Arial" w:hAnsi="Arial" w:cs="Arial"/>
          <w:sz w:val="20"/>
        </w:rPr>
        <w:t xml:space="preserve"> što je </w:t>
      </w:r>
      <w:r w:rsidR="00710E75">
        <w:rPr>
          <w:rFonts w:ascii="Arial" w:hAnsi="Arial" w:cs="Arial"/>
          <w:sz w:val="20"/>
        </w:rPr>
        <w:t>37,81</w:t>
      </w:r>
      <w:r w:rsidRPr="00F10C29">
        <w:rPr>
          <w:rFonts w:ascii="Arial" w:hAnsi="Arial" w:cs="Arial"/>
          <w:sz w:val="20"/>
        </w:rPr>
        <w:t xml:space="preserve">% u odnosu na </w:t>
      </w:r>
      <w:r>
        <w:rPr>
          <w:rFonts w:ascii="Arial" w:hAnsi="Arial" w:cs="Arial"/>
          <w:sz w:val="20"/>
        </w:rPr>
        <w:t xml:space="preserve">godišnji </w:t>
      </w:r>
      <w:r w:rsidRPr="00F10C29">
        <w:rPr>
          <w:rFonts w:ascii="Arial" w:hAnsi="Arial" w:cs="Arial"/>
          <w:sz w:val="20"/>
        </w:rPr>
        <w:t xml:space="preserve">plan, a </w:t>
      </w:r>
      <w:r w:rsidR="00710E75">
        <w:rPr>
          <w:rFonts w:ascii="Arial" w:hAnsi="Arial" w:cs="Arial"/>
          <w:sz w:val="20"/>
        </w:rPr>
        <w:t>89,30</w:t>
      </w:r>
      <w:r w:rsidRPr="00F10C29">
        <w:rPr>
          <w:rFonts w:ascii="Arial" w:hAnsi="Arial" w:cs="Arial"/>
          <w:sz w:val="20"/>
        </w:rPr>
        <w:t xml:space="preserve"> % u odnosu na </w:t>
      </w:r>
      <w:r>
        <w:rPr>
          <w:rFonts w:ascii="Arial" w:hAnsi="Arial" w:cs="Arial"/>
          <w:sz w:val="20"/>
        </w:rPr>
        <w:t xml:space="preserve">polugodišnje </w:t>
      </w:r>
      <w:r w:rsidRPr="00F10C29">
        <w:rPr>
          <w:rFonts w:ascii="Arial" w:hAnsi="Arial" w:cs="Arial"/>
          <w:sz w:val="20"/>
        </w:rPr>
        <w:t>izvršenje iz 202</w:t>
      </w:r>
      <w:r w:rsidR="00710E75">
        <w:rPr>
          <w:rFonts w:ascii="Arial" w:hAnsi="Arial" w:cs="Arial"/>
          <w:sz w:val="20"/>
        </w:rPr>
        <w:t>4</w:t>
      </w:r>
      <w:r w:rsidRPr="00F10C29">
        <w:rPr>
          <w:rFonts w:ascii="Arial" w:hAnsi="Arial" w:cs="Arial"/>
          <w:sz w:val="20"/>
        </w:rPr>
        <w:t xml:space="preserve">. godine. Radi se o sredstvima koje učenici uplaćuju za sufinanciranje </w:t>
      </w:r>
      <w:r>
        <w:rPr>
          <w:rFonts w:ascii="Arial" w:hAnsi="Arial" w:cs="Arial"/>
          <w:sz w:val="20"/>
        </w:rPr>
        <w:t>izvanučioničn</w:t>
      </w:r>
      <w:r w:rsidRPr="00F10C29">
        <w:rPr>
          <w:rFonts w:ascii="Arial" w:hAnsi="Arial" w:cs="Arial"/>
          <w:sz w:val="20"/>
        </w:rPr>
        <w:t>e nastave</w:t>
      </w:r>
      <w:r>
        <w:rPr>
          <w:rFonts w:ascii="Arial" w:hAnsi="Arial" w:cs="Arial"/>
          <w:sz w:val="20"/>
        </w:rPr>
        <w:t xml:space="preserve"> te sredstvima ostvarenim od izdavanja duplikata svjedodžbi. </w:t>
      </w:r>
    </w:p>
    <w:p w14:paraId="1BBD7B69" w14:textId="3057E386" w:rsidR="0031338A" w:rsidRPr="00F10C29" w:rsidRDefault="0031338A" w:rsidP="0031338A">
      <w:pPr>
        <w:jc w:val="both"/>
        <w:rPr>
          <w:rFonts w:ascii="Arial" w:hAnsi="Arial" w:cs="Arial"/>
          <w:sz w:val="20"/>
        </w:rPr>
      </w:pPr>
      <w:r w:rsidRPr="00F10C29">
        <w:rPr>
          <w:rFonts w:ascii="Arial" w:hAnsi="Arial" w:cs="Arial"/>
          <w:sz w:val="20"/>
        </w:rPr>
        <w:t xml:space="preserve">Prihodi od pruženih usluga i donacija (račun 66) ostvareni su u visini </w:t>
      </w:r>
      <w:r w:rsidR="00710E75">
        <w:rPr>
          <w:rFonts w:ascii="Arial" w:hAnsi="Arial" w:cs="Arial"/>
          <w:sz w:val="20"/>
        </w:rPr>
        <w:t>72.164,56</w:t>
      </w:r>
      <w:r>
        <w:rPr>
          <w:rFonts w:ascii="Arial" w:hAnsi="Arial" w:cs="Arial"/>
          <w:sz w:val="20"/>
        </w:rPr>
        <w:t xml:space="preserve"> eura</w:t>
      </w:r>
      <w:r w:rsidRPr="00F10C29">
        <w:rPr>
          <w:rFonts w:ascii="Arial" w:hAnsi="Arial" w:cs="Arial"/>
          <w:sz w:val="20"/>
        </w:rPr>
        <w:t xml:space="preserve"> što je </w:t>
      </w:r>
      <w:r>
        <w:rPr>
          <w:rFonts w:ascii="Arial" w:hAnsi="Arial" w:cs="Arial"/>
          <w:sz w:val="20"/>
        </w:rPr>
        <w:t>5</w:t>
      </w:r>
      <w:r w:rsidR="00710E75">
        <w:rPr>
          <w:rFonts w:ascii="Arial" w:hAnsi="Arial" w:cs="Arial"/>
          <w:sz w:val="20"/>
        </w:rPr>
        <w:t>4</w:t>
      </w:r>
      <w:r>
        <w:rPr>
          <w:rFonts w:ascii="Arial" w:hAnsi="Arial" w:cs="Arial"/>
          <w:sz w:val="20"/>
        </w:rPr>
        <w:t>,</w:t>
      </w:r>
      <w:r w:rsidR="00710E75">
        <w:rPr>
          <w:rFonts w:ascii="Arial" w:hAnsi="Arial" w:cs="Arial"/>
          <w:sz w:val="20"/>
        </w:rPr>
        <w:t>86</w:t>
      </w:r>
      <w:r w:rsidRPr="00F10C29">
        <w:rPr>
          <w:rFonts w:ascii="Arial" w:hAnsi="Arial" w:cs="Arial"/>
          <w:sz w:val="20"/>
        </w:rPr>
        <w:t xml:space="preserve">% u odnosu na </w:t>
      </w:r>
      <w:r>
        <w:rPr>
          <w:rFonts w:ascii="Arial" w:hAnsi="Arial" w:cs="Arial"/>
          <w:sz w:val="20"/>
        </w:rPr>
        <w:t xml:space="preserve">godišnji </w:t>
      </w:r>
      <w:r w:rsidRPr="00F10C29">
        <w:rPr>
          <w:rFonts w:ascii="Arial" w:hAnsi="Arial" w:cs="Arial"/>
          <w:sz w:val="20"/>
        </w:rPr>
        <w:t xml:space="preserve">plan, a </w:t>
      </w:r>
      <w:r w:rsidR="00710E75">
        <w:rPr>
          <w:rFonts w:ascii="Arial" w:hAnsi="Arial" w:cs="Arial"/>
          <w:sz w:val="20"/>
        </w:rPr>
        <w:t>105,85</w:t>
      </w:r>
      <w:r w:rsidRPr="00F10C29">
        <w:rPr>
          <w:rFonts w:ascii="Arial" w:hAnsi="Arial" w:cs="Arial"/>
          <w:sz w:val="20"/>
        </w:rPr>
        <w:t xml:space="preserve">% u odnosu na </w:t>
      </w:r>
      <w:r>
        <w:rPr>
          <w:rFonts w:ascii="Arial" w:hAnsi="Arial" w:cs="Arial"/>
          <w:sz w:val="20"/>
        </w:rPr>
        <w:t xml:space="preserve">polugodišnje </w:t>
      </w:r>
      <w:r w:rsidRPr="00F10C29">
        <w:rPr>
          <w:rFonts w:ascii="Arial" w:hAnsi="Arial" w:cs="Arial"/>
          <w:sz w:val="20"/>
        </w:rPr>
        <w:t>izvršenje iz 202</w:t>
      </w:r>
      <w:r w:rsidR="00710E75">
        <w:rPr>
          <w:rFonts w:ascii="Arial" w:hAnsi="Arial" w:cs="Arial"/>
          <w:sz w:val="20"/>
        </w:rPr>
        <w:t>4</w:t>
      </w:r>
      <w:r w:rsidRPr="00F10C29">
        <w:rPr>
          <w:rFonts w:ascii="Arial" w:hAnsi="Arial" w:cs="Arial"/>
          <w:sz w:val="20"/>
        </w:rPr>
        <w:t xml:space="preserve">. godine. Radi se o prihodima koji se ostvaruju obavljanjem djelatnosti </w:t>
      </w:r>
      <w:r>
        <w:rPr>
          <w:rFonts w:ascii="Arial" w:hAnsi="Arial" w:cs="Arial"/>
          <w:sz w:val="20"/>
        </w:rPr>
        <w:t>obrazovanja odraslih, autoškole,</w:t>
      </w:r>
      <w:r w:rsidRPr="00F10C29">
        <w:rPr>
          <w:rFonts w:ascii="Arial" w:hAnsi="Arial" w:cs="Arial"/>
          <w:sz w:val="20"/>
        </w:rPr>
        <w:t xml:space="preserve"> </w:t>
      </w:r>
      <w:r w:rsidR="00D07E62">
        <w:rPr>
          <w:rFonts w:ascii="Arial" w:hAnsi="Arial" w:cs="Arial"/>
          <w:sz w:val="20"/>
        </w:rPr>
        <w:t xml:space="preserve">prihodima </w:t>
      </w:r>
      <w:r w:rsidRPr="00F10C29">
        <w:rPr>
          <w:rFonts w:ascii="Arial" w:hAnsi="Arial" w:cs="Arial"/>
          <w:sz w:val="20"/>
        </w:rPr>
        <w:t>od posredovanja pri zapošljavanju učenika</w:t>
      </w:r>
      <w:r>
        <w:rPr>
          <w:rFonts w:ascii="Arial" w:hAnsi="Arial" w:cs="Arial"/>
          <w:sz w:val="20"/>
        </w:rPr>
        <w:t xml:space="preserve"> te prihodima od dobivenih donacija</w:t>
      </w:r>
      <w:r w:rsidRPr="00F10C29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 xml:space="preserve"> </w:t>
      </w:r>
      <w:r w:rsidRPr="00F929C7">
        <w:rPr>
          <w:rFonts w:ascii="Arial" w:hAnsi="Arial" w:cs="Arial"/>
          <w:sz w:val="20"/>
        </w:rPr>
        <w:t xml:space="preserve">Ovi prihodi su </w:t>
      </w:r>
      <w:r w:rsidR="00710E75">
        <w:rPr>
          <w:rFonts w:ascii="Arial" w:hAnsi="Arial" w:cs="Arial"/>
          <w:sz w:val="20"/>
        </w:rPr>
        <w:t xml:space="preserve">malo </w:t>
      </w:r>
      <w:r w:rsidRPr="00F929C7">
        <w:rPr>
          <w:rFonts w:ascii="Arial" w:hAnsi="Arial" w:cs="Arial"/>
          <w:sz w:val="20"/>
        </w:rPr>
        <w:t>uvećani radi povećanja cijene školarina</w:t>
      </w:r>
      <w:r w:rsidR="00F929C7">
        <w:rPr>
          <w:rFonts w:ascii="Arial" w:hAnsi="Arial" w:cs="Arial"/>
          <w:sz w:val="20"/>
        </w:rPr>
        <w:t xml:space="preserve"> i prihoda</w:t>
      </w:r>
      <w:r w:rsidR="0085521D">
        <w:rPr>
          <w:rFonts w:ascii="Arial" w:hAnsi="Arial" w:cs="Arial"/>
          <w:sz w:val="20"/>
        </w:rPr>
        <w:t xml:space="preserve"> u djelatnosti Autoškole, </w:t>
      </w:r>
      <w:r w:rsidRPr="00F929C7">
        <w:rPr>
          <w:rFonts w:ascii="Arial" w:hAnsi="Arial" w:cs="Arial"/>
          <w:sz w:val="20"/>
        </w:rPr>
        <w:t>broj</w:t>
      </w:r>
      <w:r w:rsidR="00EC1F26">
        <w:rPr>
          <w:rFonts w:ascii="Arial" w:hAnsi="Arial" w:cs="Arial"/>
          <w:sz w:val="20"/>
        </w:rPr>
        <w:t>nijih donacija za maturante</w:t>
      </w:r>
      <w:r w:rsidR="0085521D">
        <w:rPr>
          <w:rFonts w:ascii="Arial" w:hAnsi="Arial" w:cs="Arial"/>
          <w:sz w:val="20"/>
        </w:rPr>
        <w:t xml:space="preserve"> te </w:t>
      </w:r>
      <w:r w:rsidR="00464026">
        <w:rPr>
          <w:rFonts w:ascii="Arial" w:hAnsi="Arial" w:cs="Arial"/>
          <w:sz w:val="20"/>
        </w:rPr>
        <w:t xml:space="preserve">donacija za </w:t>
      </w:r>
      <w:r w:rsidR="0085521D">
        <w:rPr>
          <w:rFonts w:ascii="Arial" w:hAnsi="Arial" w:cs="Arial"/>
          <w:sz w:val="20"/>
        </w:rPr>
        <w:t>uslug</w:t>
      </w:r>
      <w:r w:rsidR="00464026">
        <w:rPr>
          <w:rFonts w:ascii="Arial" w:hAnsi="Arial" w:cs="Arial"/>
          <w:sz w:val="20"/>
        </w:rPr>
        <w:t>e</w:t>
      </w:r>
      <w:r w:rsidRPr="00F929C7">
        <w:rPr>
          <w:rFonts w:ascii="Arial" w:hAnsi="Arial" w:cs="Arial"/>
          <w:sz w:val="20"/>
        </w:rPr>
        <w:t xml:space="preserve"> prijevoza učenika na više županijskih </w:t>
      </w:r>
      <w:r w:rsidR="00464026">
        <w:rPr>
          <w:rFonts w:ascii="Arial" w:hAnsi="Arial" w:cs="Arial"/>
          <w:sz w:val="20"/>
        </w:rPr>
        <w:t xml:space="preserve">školskih sportskih </w:t>
      </w:r>
      <w:r w:rsidRPr="00F929C7">
        <w:rPr>
          <w:rFonts w:ascii="Arial" w:hAnsi="Arial" w:cs="Arial"/>
          <w:sz w:val="20"/>
        </w:rPr>
        <w:t>natjecanja</w:t>
      </w:r>
      <w:r w:rsidR="00464026">
        <w:rPr>
          <w:rFonts w:ascii="Arial" w:hAnsi="Arial" w:cs="Arial"/>
          <w:sz w:val="20"/>
        </w:rPr>
        <w:t>.</w:t>
      </w:r>
      <w:r w:rsidRPr="00F929C7">
        <w:rPr>
          <w:rFonts w:ascii="Arial" w:hAnsi="Arial" w:cs="Arial"/>
          <w:sz w:val="20"/>
        </w:rPr>
        <w:t xml:space="preserve"> </w:t>
      </w:r>
    </w:p>
    <w:p w14:paraId="2DAB8F61" w14:textId="77777777" w:rsidR="00FF77A3" w:rsidRPr="00F10C29" w:rsidRDefault="00FF77A3" w:rsidP="005C586C">
      <w:pPr>
        <w:jc w:val="both"/>
        <w:rPr>
          <w:rFonts w:ascii="Arial" w:hAnsi="Arial" w:cs="Arial"/>
          <w:sz w:val="20"/>
        </w:rPr>
      </w:pPr>
    </w:p>
    <w:p w14:paraId="1CF3FF86" w14:textId="799BC7BF" w:rsidR="00F929C7" w:rsidRDefault="006241AC" w:rsidP="005C586C">
      <w:pPr>
        <w:jc w:val="both"/>
        <w:rPr>
          <w:rFonts w:ascii="Arial" w:hAnsi="Arial" w:cs="Arial"/>
          <w:sz w:val="20"/>
        </w:rPr>
      </w:pPr>
      <w:r w:rsidRPr="00F10C29">
        <w:rPr>
          <w:rFonts w:ascii="Arial" w:hAnsi="Arial" w:cs="Arial"/>
          <w:sz w:val="20"/>
        </w:rPr>
        <w:t xml:space="preserve">Prihodi iz nadležnog proračuna (račun 67) ostvareni su u visini </w:t>
      </w:r>
      <w:r w:rsidR="002256D6">
        <w:rPr>
          <w:rFonts w:ascii="Arial" w:hAnsi="Arial" w:cs="Arial"/>
          <w:sz w:val="20"/>
        </w:rPr>
        <w:t>53.126,17</w:t>
      </w:r>
      <w:r w:rsidR="000A7618">
        <w:rPr>
          <w:rFonts w:ascii="Arial" w:hAnsi="Arial" w:cs="Arial"/>
          <w:sz w:val="20"/>
        </w:rPr>
        <w:t xml:space="preserve"> eura</w:t>
      </w:r>
      <w:r w:rsidRPr="00F10C29">
        <w:rPr>
          <w:rFonts w:ascii="Arial" w:hAnsi="Arial" w:cs="Arial"/>
          <w:sz w:val="20"/>
        </w:rPr>
        <w:t xml:space="preserve"> što je </w:t>
      </w:r>
      <w:r w:rsidR="002256D6">
        <w:rPr>
          <w:rFonts w:ascii="Arial" w:hAnsi="Arial" w:cs="Arial"/>
          <w:sz w:val="20"/>
        </w:rPr>
        <w:t>37,58</w:t>
      </w:r>
      <w:r w:rsidR="004527AB">
        <w:rPr>
          <w:rFonts w:ascii="Arial" w:hAnsi="Arial" w:cs="Arial"/>
          <w:sz w:val="20"/>
        </w:rPr>
        <w:t>%</w:t>
      </w:r>
      <w:r w:rsidRPr="00F10C29">
        <w:rPr>
          <w:rFonts w:ascii="Arial" w:hAnsi="Arial" w:cs="Arial"/>
          <w:sz w:val="20"/>
        </w:rPr>
        <w:t xml:space="preserve"> od </w:t>
      </w:r>
      <w:r w:rsidR="00AA3B1F">
        <w:rPr>
          <w:rFonts w:ascii="Arial" w:hAnsi="Arial" w:cs="Arial"/>
          <w:sz w:val="20"/>
        </w:rPr>
        <w:t xml:space="preserve">godišnjeg </w:t>
      </w:r>
      <w:r w:rsidRPr="00F10C29">
        <w:rPr>
          <w:rFonts w:ascii="Arial" w:hAnsi="Arial" w:cs="Arial"/>
          <w:sz w:val="20"/>
        </w:rPr>
        <w:t>plana</w:t>
      </w:r>
      <w:r w:rsidR="00D9659C" w:rsidRPr="00F10C29">
        <w:rPr>
          <w:rFonts w:ascii="Arial" w:hAnsi="Arial" w:cs="Arial"/>
          <w:sz w:val="20"/>
        </w:rPr>
        <w:t>,</w:t>
      </w:r>
      <w:r w:rsidR="006E15B9">
        <w:rPr>
          <w:rFonts w:ascii="Arial" w:hAnsi="Arial" w:cs="Arial"/>
          <w:sz w:val="20"/>
        </w:rPr>
        <w:t xml:space="preserve"> </w:t>
      </w:r>
      <w:r w:rsidR="00D9659C" w:rsidRPr="00F10C29">
        <w:rPr>
          <w:rFonts w:ascii="Arial" w:hAnsi="Arial" w:cs="Arial"/>
          <w:sz w:val="20"/>
        </w:rPr>
        <w:t xml:space="preserve">a </w:t>
      </w:r>
      <w:r w:rsidR="002256D6">
        <w:rPr>
          <w:rFonts w:ascii="Arial" w:hAnsi="Arial" w:cs="Arial"/>
          <w:sz w:val="20"/>
        </w:rPr>
        <w:t>110,91</w:t>
      </w:r>
      <w:r w:rsidR="00D9659C" w:rsidRPr="00F10C29">
        <w:rPr>
          <w:rFonts w:ascii="Arial" w:hAnsi="Arial" w:cs="Arial"/>
          <w:sz w:val="20"/>
        </w:rPr>
        <w:t xml:space="preserve"> % u odnosu na </w:t>
      </w:r>
      <w:r w:rsidR="00322573">
        <w:rPr>
          <w:rFonts w:ascii="Arial" w:hAnsi="Arial" w:cs="Arial"/>
          <w:sz w:val="20"/>
        </w:rPr>
        <w:t xml:space="preserve">polugodišnje </w:t>
      </w:r>
      <w:r w:rsidR="00D9659C" w:rsidRPr="00F10C29">
        <w:rPr>
          <w:rFonts w:ascii="Arial" w:hAnsi="Arial" w:cs="Arial"/>
          <w:sz w:val="20"/>
        </w:rPr>
        <w:t>izvršenje iz 20</w:t>
      </w:r>
      <w:r w:rsidR="005C1D78" w:rsidRPr="00F10C29">
        <w:rPr>
          <w:rFonts w:ascii="Arial" w:hAnsi="Arial" w:cs="Arial"/>
          <w:sz w:val="20"/>
        </w:rPr>
        <w:t>2</w:t>
      </w:r>
      <w:r w:rsidR="002256D6">
        <w:rPr>
          <w:rFonts w:ascii="Arial" w:hAnsi="Arial" w:cs="Arial"/>
          <w:sz w:val="20"/>
        </w:rPr>
        <w:t>4</w:t>
      </w:r>
      <w:r w:rsidR="00D9659C" w:rsidRPr="00F10C29">
        <w:rPr>
          <w:rFonts w:ascii="Arial" w:hAnsi="Arial" w:cs="Arial"/>
          <w:sz w:val="20"/>
        </w:rPr>
        <w:t xml:space="preserve">. godine. </w:t>
      </w:r>
      <w:r w:rsidRPr="00F10C29">
        <w:rPr>
          <w:rFonts w:ascii="Arial" w:hAnsi="Arial" w:cs="Arial"/>
          <w:sz w:val="20"/>
        </w:rPr>
        <w:t>Navedeni prihodi uključ</w:t>
      </w:r>
      <w:r w:rsidR="004527AB">
        <w:rPr>
          <w:rFonts w:ascii="Arial" w:hAnsi="Arial" w:cs="Arial"/>
          <w:sz w:val="20"/>
        </w:rPr>
        <w:t xml:space="preserve">uju mjesečnu dotaciju osnivača </w:t>
      </w:r>
      <w:r w:rsidRPr="00F10C29">
        <w:rPr>
          <w:rFonts w:ascii="Arial" w:hAnsi="Arial" w:cs="Arial"/>
          <w:sz w:val="20"/>
        </w:rPr>
        <w:t xml:space="preserve">Istarske županije za pokriće </w:t>
      </w:r>
      <w:r w:rsidR="005C1D78" w:rsidRPr="00F10C29">
        <w:rPr>
          <w:rFonts w:ascii="Arial" w:hAnsi="Arial" w:cs="Arial"/>
          <w:sz w:val="20"/>
        </w:rPr>
        <w:t>materijalnih ra</w:t>
      </w:r>
      <w:r w:rsidR="004527AB">
        <w:rPr>
          <w:rFonts w:ascii="Arial" w:hAnsi="Arial" w:cs="Arial"/>
          <w:sz w:val="20"/>
        </w:rPr>
        <w:t xml:space="preserve">shoda </w:t>
      </w:r>
      <w:r w:rsidR="0085521D">
        <w:rPr>
          <w:rFonts w:ascii="Arial" w:hAnsi="Arial" w:cs="Arial"/>
          <w:sz w:val="20"/>
        </w:rPr>
        <w:t xml:space="preserve">koja je zbog </w:t>
      </w:r>
      <w:r w:rsidR="0085521D">
        <w:rPr>
          <w:rFonts w:ascii="Arial" w:hAnsi="Arial" w:cs="Arial"/>
          <w:sz w:val="20"/>
        </w:rPr>
        <w:lastRenderedPageBreak/>
        <w:t>povećanja</w:t>
      </w:r>
      <w:r w:rsidR="000A7618">
        <w:rPr>
          <w:rFonts w:ascii="Arial" w:hAnsi="Arial" w:cs="Arial"/>
          <w:sz w:val="20"/>
        </w:rPr>
        <w:t xml:space="preserve"> broja učenika </w:t>
      </w:r>
      <w:r w:rsidR="004527AB">
        <w:rPr>
          <w:rFonts w:ascii="Arial" w:hAnsi="Arial" w:cs="Arial"/>
          <w:sz w:val="20"/>
        </w:rPr>
        <w:t xml:space="preserve">uvećana </w:t>
      </w:r>
      <w:r w:rsidR="00322573">
        <w:rPr>
          <w:rFonts w:ascii="Arial" w:hAnsi="Arial" w:cs="Arial"/>
          <w:sz w:val="20"/>
        </w:rPr>
        <w:t xml:space="preserve">u odnosu na </w:t>
      </w:r>
      <w:r w:rsidR="004527AB">
        <w:rPr>
          <w:rFonts w:ascii="Arial" w:hAnsi="Arial" w:cs="Arial"/>
          <w:sz w:val="20"/>
        </w:rPr>
        <w:t>202</w:t>
      </w:r>
      <w:r w:rsidR="002256D6">
        <w:rPr>
          <w:rFonts w:ascii="Arial" w:hAnsi="Arial" w:cs="Arial"/>
          <w:sz w:val="20"/>
        </w:rPr>
        <w:t>4</w:t>
      </w:r>
      <w:r w:rsidR="004527AB">
        <w:rPr>
          <w:rFonts w:ascii="Arial" w:hAnsi="Arial" w:cs="Arial"/>
          <w:sz w:val="20"/>
        </w:rPr>
        <w:t>.godinu</w:t>
      </w:r>
      <w:r w:rsidR="005C1D78" w:rsidRPr="00F10C29">
        <w:rPr>
          <w:rFonts w:ascii="Arial" w:hAnsi="Arial" w:cs="Arial"/>
          <w:sz w:val="20"/>
        </w:rPr>
        <w:t>,</w:t>
      </w:r>
      <w:r w:rsidRPr="00F10C29">
        <w:rPr>
          <w:rFonts w:ascii="Arial" w:hAnsi="Arial" w:cs="Arial"/>
          <w:sz w:val="20"/>
        </w:rPr>
        <w:t xml:space="preserve"> materijalne rashode koji se isplaćuju temeljem stvarnog troška</w:t>
      </w:r>
      <w:r w:rsidR="000A7618">
        <w:rPr>
          <w:rFonts w:ascii="Arial" w:hAnsi="Arial" w:cs="Arial"/>
          <w:sz w:val="20"/>
        </w:rPr>
        <w:t xml:space="preserve"> (električna energija, lož ulje, naknade za prijevoz na posao, premije osiguranja, sistematski pregledi zaposlenika), </w:t>
      </w:r>
      <w:r w:rsidR="002256D6">
        <w:rPr>
          <w:rFonts w:ascii="Arial" w:hAnsi="Arial" w:cs="Arial"/>
          <w:sz w:val="20"/>
        </w:rPr>
        <w:t>usluge uvođenja i održavanja novog računovodstvenog pro</w:t>
      </w:r>
      <w:r w:rsidR="005120BC">
        <w:rPr>
          <w:rFonts w:ascii="Arial" w:hAnsi="Arial" w:cs="Arial"/>
          <w:sz w:val="20"/>
        </w:rPr>
        <w:t>g</w:t>
      </w:r>
      <w:r w:rsidR="002256D6">
        <w:rPr>
          <w:rFonts w:ascii="Arial" w:hAnsi="Arial" w:cs="Arial"/>
          <w:sz w:val="20"/>
        </w:rPr>
        <w:t>rama, provođenje programa Škola i zajednica</w:t>
      </w:r>
      <w:r w:rsidR="005C1D78" w:rsidRPr="00F10C29">
        <w:rPr>
          <w:rFonts w:ascii="Arial" w:hAnsi="Arial" w:cs="Arial"/>
          <w:sz w:val="20"/>
        </w:rPr>
        <w:t xml:space="preserve"> </w:t>
      </w:r>
      <w:r w:rsidR="00F929C7">
        <w:rPr>
          <w:rFonts w:ascii="Arial" w:hAnsi="Arial" w:cs="Arial"/>
          <w:sz w:val="20"/>
        </w:rPr>
        <w:t xml:space="preserve">te </w:t>
      </w:r>
      <w:r w:rsidR="005C1D78" w:rsidRPr="00F10C29">
        <w:rPr>
          <w:rFonts w:ascii="Arial" w:hAnsi="Arial" w:cs="Arial"/>
          <w:sz w:val="20"/>
        </w:rPr>
        <w:t>sredstva za investicijsko održavanje škole</w:t>
      </w:r>
      <w:r w:rsidR="00F929C7">
        <w:rPr>
          <w:rFonts w:ascii="Arial" w:hAnsi="Arial" w:cs="Arial"/>
          <w:sz w:val="20"/>
        </w:rPr>
        <w:t>. Ovi prihodi su</w:t>
      </w:r>
      <w:r w:rsidR="005120BC">
        <w:rPr>
          <w:rFonts w:ascii="Arial" w:hAnsi="Arial" w:cs="Arial"/>
          <w:sz w:val="20"/>
        </w:rPr>
        <w:t xml:space="preserve"> blago uvećani</w:t>
      </w:r>
      <w:r w:rsidR="00EC1F26">
        <w:rPr>
          <w:rFonts w:ascii="Arial" w:hAnsi="Arial" w:cs="Arial"/>
          <w:sz w:val="20"/>
        </w:rPr>
        <w:t xml:space="preserve"> zbog uvođenja</w:t>
      </w:r>
      <w:r w:rsidR="005120BC">
        <w:rPr>
          <w:rFonts w:ascii="Arial" w:hAnsi="Arial" w:cs="Arial"/>
          <w:sz w:val="20"/>
        </w:rPr>
        <w:t xml:space="preserve"> fakultativnog programa Škola i zajednica te rashoda za uzorkovanje vode i izrade procjene rizika vodovodne mreže.</w:t>
      </w:r>
    </w:p>
    <w:p w14:paraId="72CF7738" w14:textId="77777777" w:rsidR="00F929C7" w:rsidRDefault="00F929C7" w:rsidP="005C586C">
      <w:pPr>
        <w:jc w:val="both"/>
        <w:rPr>
          <w:rFonts w:ascii="Arial" w:hAnsi="Arial" w:cs="Arial"/>
          <w:sz w:val="20"/>
        </w:rPr>
      </w:pPr>
    </w:p>
    <w:p w14:paraId="39657B55" w14:textId="0C99AA5C" w:rsidR="007231FC" w:rsidRDefault="0003008C" w:rsidP="005C586C">
      <w:pPr>
        <w:jc w:val="both"/>
        <w:rPr>
          <w:rFonts w:ascii="Arial" w:hAnsi="Arial" w:cs="Arial"/>
          <w:sz w:val="20"/>
        </w:rPr>
      </w:pPr>
      <w:r w:rsidRPr="00F10C29">
        <w:rPr>
          <w:rFonts w:ascii="Arial" w:hAnsi="Arial" w:cs="Arial"/>
          <w:sz w:val="20"/>
        </w:rPr>
        <w:t xml:space="preserve">Ukupni rashodi za </w:t>
      </w:r>
      <w:r w:rsidR="00B8012C">
        <w:rPr>
          <w:rFonts w:ascii="Arial" w:hAnsi="Arial" w:cs="Arial"/>
          <w:sz w:val="20"/>
        </w:rPr>
        <w:t xml:space="preserve">prvo polugodišnje razdoblje </w:t>
      </w:r>
      <w:r w:rsidRPr="00F10C29">
        <w:rPr>
          <w:rFonts w:ascii="Arial" w:hAnsi="Arial" w:cs="Arial"/>
          <w:sz w:val="20"/>
        </w:rPr>
        <w:t>202</w:t>
      </w:r>
      <w:r w:rsidR="00D4513D">
        <w:rPr>
          <w:rFonts w:ascii="Arial" w:hAnsi="Arial" w:cs="Arial"/>
          <w:sz w:val="20"/>
        </w:rPr>
        <w:t>5</w:t>
      </w:r>
      <w:r w:rsidR="00992069" w:rsidRPr="00F10C29">
        <w:rPr>
          <w:rFonts w:ascii="Arial" w:hAnsi="Arial" w:cs="Arial"/>
          <w:sz w:val="20"/>
        </w:rPr>
        <w:t>.godin</w:t>
      </w:r>
      <w:r w:rsidR="00694905">
        <w:rPr>
          <w:rFonts w:ascii="Arial" w:hAnsi="Arial" w:cs="Arial"/>
          <w:sz w:val="20"/>
        </w:rPr>
        <w:t>e</w:t>
      </w:r>
      <w:r w:rsidR="00992069" w:rsidRPr="00F10C29">
        <w:rPr>
          <w:rFonts w:ascii="Arial" w:hAnsi="Arial" w:cs="Arial"/>
          <w:sz w:val="20"/>
        </w:rPr>
        <w:t xml:space="preserve"> iznosili su </w:t>
      </w:r>
      <w:r w:rsidR="00D4513D">
        <w:rPr>
          <w:rFonts w:ascii="Arial" w:hAnsi="Arial" w:cs="Arial"/>
          <w:sz w:val="20"/>
        </w:rPr>
        <w:t>709.138,55</w:t>
      </w:r>
      <w:r w:rsidR="00A940A4">
        <w:rPr>
          <w:rFonts w:ascii="Arial" w:hAnsi="Arial" w:cs="Arial"/>
          <w:sz w:val="20"/>
        </w:rPr>
        <w:t xml:space="preserve"> eura</w:t>
      </w:r>
      <w:r w:rsidR="00992069" w:rsidRPr="00F10C29">
        <w:rPr>
          <w:rFonts w:ascii="Arial" w:hAnsi="Arial" w:cs="Arial"/>
          <w:sz w:val="20"/>
        </w:rPr>
        <w:t xml:space="preserve"> što je </w:t>
      </w:r>
      <w:r w:rsidR="00D4513D">
        <w:rPr>
          <w:rFonts w:ascii="Arial" w:hAnsi="Arial" w:cs="Arial"/>
          <w:sz w:val="20"/>
        </w:rPr>
        <w:t>52,88</w:t>
      </w:r>
      <w:r w:rsidR="00E33A47" w:rsidRPr="00F10C29">
        <w:rPr>
          <w:rFonts w:ascii="Arial" w:hAnsi="Arial" w:cs="Arial"/>
          <w:sz w:val="20"/>
        </w:rPr>
        <w:t xml:space="preserve">% od ukupno </w:t>
      </w:r>
      <w:r w:rsidR="00694905">
        <w:rPr>
          <w:rFonts w:ascii="Arial" w:hAnsi="Arial" w:cs="Arial"/>
          <w:sz w:val="20"/>
        </w:rPr>
        <w:t xml:space="preserve">godišnjih </w:t>
      </w:r>
      <w:r w:rsidR="00E33A47" w:rsidRPr="00F10C29">
        <w:rPr>
          <w:rFonts w:ascii="Arial" w:hAnsi="Arial" w:cs="Arial"/>
          <w:sz w:val="20"/>
        </w:rPr>
        <w:t xml:space="preserve">planiranih rashoda, a </w:t>
      </w:r>
      <w:r w:rsidR="00D4513D">
        <w:rPr>
          <w:rFonts w:ascii="Arial" w:hAnsi="Arial" w:cs="Arial"/>
          <w:sz w:val="20"/>
        </w:rPr>
        <w:t>128,34</w:t>
      </w:r>
      <w:r w:rsidR="007231FC" w:rsidRPr="00F10C29">
        <w:rPr>
          <w:rFonts w:ascii="Arial" w:hAnsi="Arial" w:cs="Arial"/>
          <w:sz w:val="20"/>
        </w:rPr>
        <w:t xml:space="preserve">% u odnosu na </w:t>
      </w:r>
      <w:r w:rsidR="00694905">
        <w:rPr>
          <w:rFonts w:ascii="Arial" w:hAnsi="Arial" w:cs="Arial"/>
          <w:sz w:val="20"/>
        </w:rPr>
        <w:t xml:space="preserve">polugodišnje </w:t>
      </w:r>
      <w:r w:rsidR="007231FC" w:rsidRPr="00F10C29">
        <w:rPr>
          <w:rFonts w:ascii="Arial" w:hAnsi="Arial" w:cs="Arial"/>
          <w:sz w:val="20"/>
        </w:rPr>
        <w:t>izvršenje u 202</w:t>
      </w:r>
      <w:r w:rsidR="00D4513D">
        <w:rPr>
          <w:rFonts w:ascii="Arial" w:hAnsi="Arial" w:cs="Arial"/>
          <w:sz w:val="20"/>
        </w:rPr>
        <w:t>4</w:t>
      </w:r>
      <w:r w:rsidR="00E33A47" w:rsidRPr="00F10C29">
        <w:rPr>
          <w:rFonts w:ascii="Arial" w:hAnsi="Arial" w:cs="Arial"/>
          <w:sz w:val="20"/>
        </w:rPr>
        <w:t>.godini.</w:t>
      </w:r>
      <w:r w:rsidR="00694905">
        <w:rPr>
          <w:rFonts w:ascii="Arial" w:hAnsi="Arial" w:cs="Arial"/>
          <w:sz w:val="20"/>
        </w:rPr>
        <w:t xml:space="preserve"> </w:t>
      </w:r>
      <w:r w:rsidR="00A147B2" w:rsidRPr="00F10C29">
        <w:rPr>
          <w:rFonts w:ascii="Arial" w:hAnsi="Arial" w:cs="Arial"/>
          <w:sz w:val="20"/>
        </w:rPr>
        <w:t xml:space="preserve">Povećani rashodi odraz su </w:t>
      </w:r>
      <w:r w:rsidR="0089008B">
        <w:rPr>
          <w:rFonts w:ascii="Arial" w:hAnsi="Arial" w:cs="Arial"/>
          <w:sz w:val="20"/>
        </w:rPr>
        <w:t>po</w:t>
      </w:r>
      <w:r w:rsidR="00A147B2" w:rsidRPr="00F10C29">
        <w:rPr>
          <w:rFonts w:ascii="Arial" w:hAnsi="Arial" w:cs="Arial"/>
          <w:sz w:val="20"/>
        </w:rPr>
        <w:t>rasta plaća zaposlenika,</w:t>
      </w:r>
      <w:r w:rsidR="00A204D8">
        <w:rPr>
          <w:rFonts w:ascii="Arial" w:hAnsi="Arial" w:cs="Arial"/>
          <w:sz w:val="20"/>
        </w:rPr>
        <w:t xml:space="preserve"> naknada za prijevoz na posao zaposlenika,</w:t>
      </w:r>
      <w:r w:rsidR="00A147B2" w:rsidRPr="00F10C29">
        <w:rPr>
          <w:rFonts w:ascii="Arial" w:hAnsi="Arial" w:cs="Arial"/>
          <w:sz w:val="20"/>
        </w:rPr>
        <w:t xml:space="preserve"> ali i </w:t>
      </w:r>
      <w:r w:rsidR="002D44B9" w:rsidRPr="00F10C29">
        <w:rPr>
          <w:rFonts w:ascii="Arial" w:hAnsi="Arial" w:cs="Arial"/>
          <w:sz w:val="20"/>
        </w:rPr>
        <w:t>rasta cijena</w:t>
      </w:r>
      <w:r w:rsidR="00A147B2" w:rsidRPr="00F10C29">
        <w:rPr>
          <w:rFonts w:ascii="Arial" w:hAnsi="Arial" w:cs="Arial"/>
          <w:sz w:val="20"/>
        </w:rPr>
        <w:t xml:space="preserve"> energen</w:t>
      </w:r>
      <w:r w:rsidR="002D44B9" w:rsidRPr="00F10C29">
        <w:rPr>
          <w:rFonts w:ascii="Arial" w:hAnsi="Arial" w:cs="Arial"/>
          <w:sz w:val="20"/>
        </w:rPr>
        <w:t>a</w:t>
      </w:r>
      <w:r w:rsidR="00A147B2" w:rsidRPr="00F10C29">
        <w:rPr>
          <w:rFonts w:ascii="Arial" w:hAnsi="Arial" w:cs="Arial"/>
          <w:sz w:val="20"/>
        </w:rPr>
        <w:t>ta</w:t>
      </w:r>
      <w:r w:rsidR="002D44B9" w:rsidRPr="00F10C29">
        <w:rPr>
          <w:rFonts w:ascii="Arial" w:hAnsi="Arial" w:cs="Arial"/>
          <w:sz w:val="20"/>
        </w:rPr>
        <w:t xml:space="preserve"> te</w:t>
      </w:r>
      <w:r w:rsidR="00A147B2" w:rsidRPr="00F10C29">
        <w:rPr>
          <w:rFonts w:ascii="Arial" w:hAnsi="Arial" w:cs="Arial"/>
          <w:sz w:val="20"/>
        </w:rPr>
        <w:t xml:space="preserve"> drugih materijalnih rashoda na tržištu</w:t>
      </w:r>
      <w:r w:rsidR="0079675E">
        <w:rPr>
          <w:rFonts w:ascii="Arial" w:hAnsi="Arial" w:cs="Arial"/>
          <w:sz w:val="20"/>
        </w:rPr>
        <w:t xml:space="preserve"> te plaćanja učešća za nabavu vozila za djelatnost autoškole</w:t>
      </w:r>
      <w:r w:rsidR="00A147B2" w:rsidRPr="00F10C29">
        <w:rPr>
          <w:rFonts w:ascii="Arial" w:hAnsi="Arial" w:cs="Arial"/>
          <w:sz w:val="20"/>
        </w:rPr>
        <w:t>.</w:t>
      </w:r>
    </w:p>
    <w:p w14:paraId="2F4BDC3D" w14:textId="77777777" w:rsidR="00A940A4" w:rsidRPr="00F10C29" w:rsidRDefault="00A940A4" w:rsidP="005C586C">
      <w:pPr>
        <w:jc w:val="both"/>
        <w:rPr>
          <w:rFonts w:ascii="Arial" w:hAnsi="Arial" w:cs="Arial"/>
          <w:sz w:val="20"/>
        </w:rPr>
      </w:pPr>
    </w:p>
    <w:p w14:paraId="05393144" w14:textId="7FDB6E73" w:rsidR="00000976" w:rsidRPr="0018568D" w:rsidRDefault="00E626A7" w:rsidP="005C586C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Po </w:t>
      </w:r>
      <w:r w:rsidR="007231FC" w:rsidRPr="00F10C29">
        <w:rPr>
          <w:rFonts w:ascii="Arial" w:hAnsi="Arial" w:cs="Arial"/>
          <w:sz w:val="20"/>
        </w:rPr>
        <w:t>ekonomskoj klasifikaciji rashodi s</w:t>
      </w:r>
      <w:r w:rsidR="00000976" w:rsidRPr="00F10C29">
        <w:rPr>
          <w:rFonts w:ascii="Arial" w:hAnsi="Arial" w:cs="Arial"/>
          <w:sz w:val="20"/>
        </w:rPr>
        <w:t>u iskazani na</w:t>
      </w:r>
      <w:r w:rsidR="00A204D8">
        <w:rPr>
          <w:rFonts w:ascii="Arial" w:hAnsi="Arial" w:cs="Arial"/>
          <w:sz w:val="20"/>
        </w:rPr>
        <w:t xml:space="preserve"> </w:t>
      </w:r>
      <w:r w:rsidR="00000976" w:rsidRPr="00F10C29">
        <w:rPr>
          <w:rFonts w:ascii="Arial" w:hAnsi="Arial" w:cs="Arial"/>
          <w:sz w:val="20"/>
        </w:rPr>
        <w:t xml:space="preserve">rashode poslovanja i rashode za nabavu nefinancijske imovine. Rashodi poslovanja ostvareni su u visini </w:t>
      </w:r>
      <w:r w:rsidR="0079675E">
        <w:rPr>
          <w:rFonts w:ascii="Arial" w:hAnsi="Arial" w:cs="Arial"/>
          <w:sz w:val="20"/>
        </w:rPr>
        <w:t>693.035,44</w:t>
      </w:r>
      <w:r w:rsidR="00A940A4">
        <w:rPr>
          <w:rFonts w:ascii="Arial" w:hAnsi="Arial" w:cs="Arial"/>
          <w:sz w:val="20"/>
        </w:rPr>
        <w:t xml:space="preserve"> eura </w:t>
      </w:r>
      <w:r w:rsidR="00000976" w:rsidRPr="00F10C29">
        <w:rPr>
          <w:rFonts w:ascii="Arial" w:hAnsi="Arial" w:cs="Arial"/>
          <w:sz w:val="20"/>
        </w:rPr>
        <w:t xml:space="preserve">što je </w:t>
      </w:r>
      <w:r w:rsidR="0079675E">
        <w:rPr>
          <w:rFonts w:ascii="Arial" w:hAnsi="Arial" w:cs="Arial"/>
          <w:sz w:val="20"/>
        </w:rPr>
        <w:t>52,8</w:t>
      </w:r>
      <w:r w:rsidR="00E82C0E">
        <w:rPr>
          <w:rFonts w:ascii="Arial" w:hAnsi="Arial" w:cs="Arial"/>
          <w:sz w:val="20"/>
        </w:rPr>
        <w:t>0</w:t>
      </w:r>
      <w:r w:rsidR="0079675E">
        <w:rPr>
          <w:rFonts w:ascii="Arial" w:hAnsi="Arial" w:cs="Arial"/>
          <w:sz w:val="20"/>
        </w:rPr>
        <w:t xml:space="preserve"> </w:t>
      </w:r>
      <w:r w:rsidR="00000976" w:rsidRPr="00F10C29">
        <w:rPr>
          <w:rFonts w:ascii="Arial" w:hAnsi="Arial" w:cs="Arial"/>
          <w:sz w:val="20"/>
        </w:rPr>
        <w:t xml:space="preserve">% u odnosu na </w:t>
      </w:r>
      <w:r w:rsidR="00A204D8">
        <w:rPr>
          <w:rFonts w:ascii="Arial" w:hAnsi="Arial" w:cs="Arial"/>
          <w:sz w:val="20"/>
        </w:rPr>
        <w:t xml:space="preserve">godišnji </w:t>
      </w:r>
      <w:r w:rsidR="00000976" w:rsidRPr="00F10C29">
        <w:rPr>
          <w:rFonts w:ascii="Arial" w:hAnsi="Arial" w:cs="Arial"/>
          <w:sz w:val="20"/>
        </w:rPr>
        <w:t xml:space="preserve">plan, a </w:t>
      </w:r>
      <w:r w:rsidR="0079675E">
        <w:rPr>
          <w:rFonts w:ascii="Arial" w:hAnsi="Arial" w:cs="Arial"/>
          <w:sz w:val="20"/>
        </w:rPr>
        <w:t>125,57</w:t>
      </w:r>
      <w:r w:rsidR="00A204D8">
        <w:rPr>
          <w:rFonts w:ascii="Arial" w:hAnsi="Arial" w:cs="Arial"/>
          <w:sz w:val="20"/>
        </w:rPr>
        <w:t xml:space="preserve"> </w:t>
      </w:r>
      <w:r w:rsidR="00000976" w:rsidRPr="00F10C29">
        <w:rPr>
          <w:rFonts w:ascii="Arial" w:hAnsi="Arial" w:cs="Arial"/>
          <w:sz w:val="20"/>
        </w:rPr>
        <w:t>% u odnosu na</w:t>
      </w:r>
      <w:r w:rsidR="00A204D8">
        <w:rPr>
          <w:rFonts w:ascii="Arial" w:hAnsi="Arial" w:cs="Arial"/>
          <w:sz w:val="20"/>
        </w:rPr>
        <w:t xml:space="preserve"> polugodišnje</w:t>
      </w:r>
      <w:r w:rsidR="00000976" w:rsidRPr="00F10C29">
        <w:rPr>
          <w:rFonts w:ascii="Arial" w:hAnsi="Arial" w:cs="Arial"/>
          <w:sz w:val="20"/>
        </w:rPr>
        <w:t xml:space="preserve"> izvršenje iz 202</w:t>
      </w:r>
      <w:r w:rsidR="0079675E">
        <w:rPr>
          <w:rFonts w:ascii="Arial" w:hAnsi="Arial" w:cs="Arial"/>
          <w:sz w:val="20"/>
        </w:rPr>
        <w:t>4</w:t>
      </w:r>
      <w:r w:rsidR="00000976" w:rsidRPr="00F10C29">
        <w:rPr>
          <w:rFonts w:ascii="Arial" w:hAnsi="Arial" w:cs="Arial"/>
          <w:sz w:val="20"/>
        </w:rPr>
        <w:t xml:space="preserve">.godine. Rashodi za nabavu nefinancijske imovine ostvareni su u visini </w:t>
      </w:r>
      <w:r w:rsidR="0079675E">
        <w:rPr>
          <w:rFonts w:ascii="Arial" w:hAnsi="Arial" w:cs="Arial"/>
          <w:sz w:val="20"/>
        </w:rPr>
        <w:t>16.103,11</w:t>
      </w:r>
      <w:r w:rsidR="00A940A4">
        <w:rPr>
          <w:rFonts w:ascii="Arial" w:hAnsi="Arial" w:cs="Arial"/>
          <w:sz w:val="20"/>
        </w:rPr>
        <w:t xml:space="preserve"> eura</w:t>
      </w:r>
      <w:r w:rsidR="00000976" w:rsidRPr="00F10C29">
        <w:rPr>
          <w:rFonts w:ascii="Arial" w:hAnsi="Arial" w:cs="Arial"/>
          <w:sz w:val="20"/>
        </w:rPr>
        <w:t xml:space="preserve"> što je </w:t>
      </w:r>
      <w:r w:rsidR="0079675E">
        <w:rPr>
          <w:rFonts w:ascii="Arial" w:hAnsi="Arial" w:cs="Arial"/>
          <w:sz w:val="20"/>
        </w:rPr>
        <w:t>56,49</w:t>
      </w:r>
      <w:r w:rsidR="00000976" w:rsidRPr="00F10C29">
        <w:rPr>
          <w:rFonts w:ascii="Arial" w:hAnsi="Arial" w:cs="Arial"/>
          <w:sz w:val="20"/>
        </w:rPr>
        <w:t>% u odnosu na</w:t>
      </w:r>
      <w:r w:rsidR="00A204D8">
        <w:rPr>
          <w:rFonts w:ascii="Arial" w:hAnsi="Arial" w:cs="Arial"/>
          <w:sz w:val="20"/>
        </w:rPr>
        <w:t xml:space="preserve"> godišnji</w:t>
      </w:r>
      <w:r w:rsidR="00000976" w:rsidRPr="00F10C29">
        <w:rPr>
          <w:rFonts w:ascii="Arial" w:hAnsi="Arial" w:cs="Arial"/>
          <w:sz w:val="20"/>
        </w:rPr>
        <w:t xml:space="preserve"> plan, a </w:t>
      </w:r>
      <w:r w:rsidR="0079675E">
        <w:rPr>
          <w:rFonts w:ascii="Arial" w:hAnsi="Arial" w:cs="Arial"/>
          <w:sz w:val="20"/>
        </w:rPr>
        <w:t>2523</w:t>
      </w:r>
      <w:r w:rsidR="00E82C0E">
        <w:rPr>
          <w:rFonts w:ascii="Arial" w:hAnsi="Arial" w:cs="Arial"/>
          <w:sz w:val="20"/>
        </w:rPr>
        <w:t>,64</w:t>
      </w:r>
      <w:r w:rsidR="00000976" w:rsidRPr="00F10C29">
        <w:rPr>
          <w:rFonts w:ascii="Arial" w:hAnsi="Arial" w:cs="Arial"/>
          <w:sz w:val="20"/>
        </w:rPr>
        <w:t xml:space="preserve">% u odnosu na </w:t>
      </w:r>
      <w:r w:rsidR="00A204D8">
        <w:rPr>
          <w:rFonts w:ascii="Arial" w:hAnsi="Arial" w:cs="Arial"/>
          <w:sz w:val="20"/>
        </w:rPr>
        <w:t xml:space="preserve">polugodišnje </w:t>
      </w:r>
      <w:r w:rsidR="00000976" w:rsidRPr="00F10C29">
        <w:rPr>
          <w:rFonts w:ascii="Arial" w:hAnsi="Arial" w:cs="Arial"/>
          <w:sz w:val="20"/>
        </w:rPr>
        <w:t>izvršenje iz 202</w:t>
      </w:r>
      <w:r w:rsidR="00300DAE">
        <w:rPr>
          <w:rFonts w:ascii="Arial" w:hAnsi="Arial" w:cs="Arial"/>
          <w:sz w:val="20"/>
        </w:rPr>
        <w:t>4</w:t>
      </w:r>
      <w:r w:rsidR="00000976" w:rsidRPr="00F10C29">
        <w:rPr>
          <w:rFonts w:ascii="Arial" w:hAnsi="Arial" w:cs="Arial"/>
          <w:sz w:val="20"/>
        </w:rPr>
        <w:t>.godine</w:t>
      </w:r>
      <w:r w:rsidR="00A940A4">
        <w:rPr>
          <w:rFonts w:ascii="Arial" w:hAnsi="Arial" w:cs="Arial"/>
          <w:sz w:val="20"/>
        </w:rPr>
        <w:t xml:space="preserve">. </w:t>
      </w:r>
      <w:r w:rsidR="00A204D8" w:rsidRPr="0018568D">
        <w:rPr>
          <w:rFonts w:ascii="Arial" w:hAnsi="Arial" w:cs="Arial"/>
          <w:sz w:val="20"/>
        </w:rPr>
        <w:t>U ovoj godini realiziran</w:t>
      </w:r>
      <w:r w:rsidR="0079675E">
        <w:rPr>
          <w:rFonts w:ascii="Arial" w:hAnsi="Arial" w:cs="Arial"/>
          <w:sz w:val="20"/>
        </w:rPr>
        <w:t>o</w:t>
      </w:r>
      <w:r w:rsidR="00A204D8" w:rsidRPr="0018568D">
        <w:rPr>
          <w:rFonts w:ascii="Arial" w:hAnsi="Arial" w:cs="Arial"/>
          <w:sz w:val="20"/>
        </w:rPr>
        <w:t xml:space="preserve"> je </w:t>
      </w:r>
      <w:r w:rsidR="0079675E">
        <w:rPr>
          <w:rFonts w:ascii="Arial" w:hAnsi="Arial" w:cs="Arial"/>
          <w:sz w:val="20"/>
        </w:rPr>
        <w:t>učešće za nabavu vozila za djelatnost autoškole</w:t>
      </w:r>
      <w:r w:rsidR="00E82C0E">
        <w:rPr>
          <w:rFonts w:ascii="Arial" w:hAnsi="Arial" w:cs="Arial"/>
          <w:sz w:val="20"/>
        </w:rPr>
        <w:t xml:space="preserve"> u visini 7.000,00 eura</w:t>
      </w:r>
      <w:r w:rsidR="0079675E">
        <w:rPr>
          <w:rFonts w:ascii="Arial" w:hAnsi="Arial" w:cs="Arial"/>
          <w:sz w:val="20"/>
        </w:rPr>
        <w:t xml:space="preserve">, ugradnja dvostrukih komandi i GPS uređaja te </w:t>
      </w:r>
      <w:r w:rsidR="0001797F">
        <w:rPr>
          <w:rFonts w:ascii="Arial" w:hAnsi="Arial" w:cs="Arial"/>
          <w:sz w:val="20"/>
        </w:rPr>
        <w:t>nabava hidraul</w:t>
      </w:r>
      <w:r w:rsidR="00EC1F26">
        <w:rPr>
          <w:rFonts w:ascii="Arial" w:hAnsi="Arial" w:cs="Arial"/>
          <w:sz w:val="20"/>
        </w:rPr>
        <w:t>ične preše za potrebe obavljanja</w:t>
      </w:r>
      <w:r w:rsidR="0001797F">
        <w:rPr>
          <w:rFonts w:ascii="Arial" w:hAnsi="Arial" w:cs="Arial"/>
          <w:sz w:val="20"/>
        </w:rPr>
        <w:t xml:space="preserve"> praktične nastave</w:t>
      </w:r>
      <w:r w:rsidR="00E82C0E">
        <w:rPr>
          <w:rFonts w:ascii="Arial" w:hAnsi="Arial" w:cs="Arial"/>
          <w:sz w:val="20"/>
        </w:rPr>
        <w:t xml:space="preserve"> strukovnih zanimanja</w:t>
      </w:r>
      <w:r w:rsidR="0001797F">
        <w:rPr>
          <w:rFonts w:ascii="Arial" w:hAnsi="Arial" w:cs="Arial"/>
          <w:sz w:val="20"/>
        </w:rPr>
        <w:t>.</w:t>
      </w:r>
    </w:p>
    <w:p w14:paraId="1F7FA822" w14:textId="65AF2854" w:rsidR="007C2076" w:rsidRDefault="005368FD" w:rsidP="005C586C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14:paraId="5ED3CA5B" w14:textId="20F0E42E" w:rsidR="00266A87" w:rsidRPr="007D7277" w:rsidRDefault="00266A87" w:rsidP="006272F3">
      <w:pPr>
        <w:jc w:val="both"/>
        <w:rPr>
          <w:rFonts w:ascii="Arial" w:hAnsi="Arial" w:cs="Arial"/>
          <w:sz w:val="20"/>
        </w:rPr>
      </w:pPr>
      <w:r w:rsidRPr="0001797F">
        <w:rPr>
          <w:rFonts w:ascii="Arial" w:hAnsi="Arial" w:cs="Arial"/>
          <w:sz w:val="20"/>
        </w:rPr>
        <w:t>Preneseni višak prihoda</w:t>
      </w:r>
      <w:r w:rsidR="00875284">
        <w:rPr>
          <w:rFonts w:ascii="Arial" w:hAnsi="Arial" w:cs="Arial"/>
          <w:sz w:val="20"/>
        </w:rPr>
        <w:t xml:space="preserve"> iz prethodne godine</w:t>
      </w:r>
      <w:r w:rsidRPr="0001797F">
        <w:rPr>
          <w:rFonts w:ascii="Arial" w:hAnsi="Arial" w:cs="Arial"/>
          <w:sz w:val="20"/>
        </w:rPr>
        <w:t xml:space="preserve"> </w:t>
      </w:r>
      <w:r w:rsidR="00875284">
        <w:rPr>
          <w:rFonts w:ascii="Arial" w:hAnsi="Arial" w:cs="Arial"/>
          <w:sz w:val="20"/>
        </w:rPr>
        <w:t xml:space="preserve">iskazan u izvještaju </w:t>
      </w:r>
      <w:r w:rsidRPr="0001797F">
        <w:rPr>
          <w:rFonts w:ascii="Arial" w:hAnsi="Arial" w:cs="Arial"/>
          <w:sz w:val="20"/>
        </w:rPr>
        <w:t xml:space="preserve">iznosio je </w:t>
      </w:r>
      <w:r w:rsidR="0001797F" w:rsidRPr="0001797F">
        <w:rPr>
          <w:rFonts w:ascii="Arial" w:hAnsi="Arial" w:cs="Arial"/>
          <w:sz w:val="20"/>
        </w:rPr>
        <w:t>42.808,31</w:t>
      </w:r>
      <w:r w:rsidR="005357BB" w:rsidRPr="0001797F">
        <w:rPr>
          <w:rFonts w:ascii="Arial" w:hAnsi="Arial" w:cs="Arial"/>
          <w:sz w:val="20"/>
        </w:rPr>
        <w:t xml:space="preserve"> eura</w:t>
      </w:r>
      <w:r w:rsidRPr="0001797F">
        <w:rPr>
          <w:rFonts w:ascii="Arial" w:hAnsi="Arial" w:cs="Arial"/>
          <w:sz w:val="20"/>
        </w:rPr>
        <w:t xml:space="preserve">. </w:t>
      </w:r>
      <w:r w:rsidR="007D7277" w:rsidRPr="0001797F">
        <w:rPr>
          <w:rFonts w:ascii="Arial" w:hAnsi="Arial" w:cs="Arial"/>
          <w:sz w:val="20"/>
        </w:rPr>
        <w:t xml:space="preserve">  </w:t>
      </w:r>
      <w:r w:rsidR="0001797F" w:rsidRPr="0001797F">
        <w:rPr>
          <w:rFonts w:ascii="Arial" w:hAnsi="Arial" w:cs="Arial"/>
          <w:sz w:val="20"/>
        </w:rPr>
        <w:t xml:space="preserve">Navedeni višak </w:t>
      </w:r>
      <w:r w:rsidR="00A43E3E">
        <w:rPr>
          <w:rFonts w:ascii="Arial" w:hAnsi="Arial" w:cs="Arial"/>
          <w:sz w:val="20"/>
        </w:rPr>
        <w:t xml:space="preserve">činila su </w:t>
      </w:r>
      <w:r w:rsidR="0001797F" w:rsidRPr="0001797F">
        <w:rPr>
          <w:rFonts w:ascii="Arial" w:hAnsi="Arial" w:cs="Arial"/>
          <w:sz w:val="20"/>
        </w:rPr>
        <w:t>sredstava MZO</w:t>
      </w:r>
      <w:r w:rsidR="00A43E3E">
        <w:rPr>
          <w:rFonts w:ascii="Arial" w:hAnsi="Arial" w:cs="Arial"/>
          <w:sz w:val="20"/>
        </w:rPr>
        <w:t>M</w:t>
      </w:r>
      <w:r w:rsidR="0001797F" w:rsidRPr="0001797F">
        <w:rPr>
          <w:rFonts w:ascii="Arial" w:hAnsi="Arial" w:cs="Arial"/>
          <w:sz w:val="20"/>
        </w:rPr>
        <w:t xml:space="preserve">-a za nabavu psihodijagnostičkih materijala u visini 3.513,00 eura,  donacije za maturante u visini  390,00 eura,  sredstava za rad Županijskog stručnog vijeća za preventivne programe u visini 181,69 eura te sredstava iz vlastitih prihoda poslovanja u visini 38.723,62 eura. </w:t>
      </w:r>
      <w:r w:rsidRPr="007D7277">
        <w:rPr>
          <w:rFonts w:ascii="Arial" w:hAnsi="Arial" w:cs="Arial"/>
          <w:sz w:val="20"/>
        </w:rPr>
        <w:t xml:space="preserve">Navedeni višak prihoda </w:t>
      </w:r>
      <w:r w:rsidR="005357BB" w:rsidRPr="007D7277">
        <w:rPr>
          <w:rFonts w:ascii="Arial" w:hAnsi="Arial" w:cs="Arial"/>
          <w:sz w:val="20"/>
        </w:rPr>
        <w:t>v</w:t>
      </w:r>
      <w:r w:rsidR="00F2398D">
        <w:rPr>
          <w:rFonts w:ascii="Arial" w:hAnsi="Arial" w:cs="Arial"/>
          <w:sz w:val="20"/>
        </w:rPr>
        <w:t xml:space="preserve">elikim je </w:t>
      </w:r>
      <w:r w:rsidR="005357BB" w:rsidRPr="007D7277">
        <w:rPr>
          <w:rFonts w:ascii="Arial" w:hAnsi="Arial" w:cs="Arial"/>
          <w:sz w:val="20"/>
        </w:rPr>
        <w:t xml:space="preserve"> dijelom </w:t>
      </w:r>
      <w:r w:rsidRPr="007D7277">
        <w:rPr>
          <w:rFonts w:ascii="Arial" w:hAnsi="Arial" w:cs="Arial"/>
          <w:sz w:val="20"/>
        </w:rPr>
        <w:t xml:space="preserve"> utrošen u pol</w:t>
      </w:r>
      <w:r w:rsidR="0085521D">
        <w:rPr>
          <w:rFonts w:ascii="Arial" w:hAnsi="Arial" w:cs="Arial"/>
          <w:sz w:val="20"/>
        </w:rPr>
        <w:t>ugodišnjem razdoblju</w:t>
      </w:r>
      <w:r w:rsidR="00F2398D">
        <w:rPr>
          <w:rFonts w:ascii="Arial" w:hAnsi="Arial" w:cs="Arial"/>
          <w:sz w:val="20"/>
        </w:rPr>
        <w:t>, a ostatak će se utrošiti u narednom razdoblju</w:t>
      </w:r>
      <w:r w:rsidR="0085521D">
        <w:rPr>
          <w:rFonts w:ascii="Arial" w:hAnsi="Arial" w:cs="Arial"/>
          <w:sz w:val="20"/>
        </w:rPr>
        <w:t xml:space="preserve"> u skladu s</w:t>
      </w:r>
      <w:r w:rsidRPr="007D7277">
        <w:rPr>
          <w:rFonts w:ascii="Arial" w:hAnsi="Arial" w:cs="Arial"/>
          <w:sz w:val="20"/>
        </w:rPr>
        <w:t xml:space="preserve"> utvrđenim namjenama.</w:t>
      </w:r>
    </w:p>
    <w:p w14:paraId="2666818C" w14:textId="6914A609" w:rsidR="000E3BCC" w:rsidRPr="000E3BCC" w:rsidRDefault="000E3BCC" w:rsidP="00225B2D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Iskazani m</w:t>
      </w:r>
      <w:r w:rsidRPr="000E3BCC">
        <w:rPr>
          <w:rFonts w:ascii="Arial" w:hAnsi="Arial" w:cs="Arial"/>
          <w:bCs/>
          <w:sz w:val="20"/>
        </w:rPr>
        <w:t xml:space="preserve">anjak prihoda i primitaka za pokriće u slijedećem razdoblju </w:t>
      </w:r>
      <w:r>
        <w:rPr>
          <w:rFonts w:ascii="Arial" w:hAnsi="Arial" w:cs="Arial"/>
          <w:bCs/>
          <w:sz w:val="20"/>
        </w:rPr>
        <w:t>iznosi 36.642,74</w:t>
      </w:r>
      <w:r w:rsidRPr="000E3BCC">
        <w:rPr>
          <w:rFonts w:ascii="Arial" w:hAnsi="Arial" w:cs="Arial"/>
          <w:bCs/>
          <w:sz w:val="20"/>
        </w:rPr>
        <w:t xml:space="preserve"> eura </w:t>
      </w:r>
      <w:r>
        <w:rPr>
          <w:rFonts w:ascii="Arial" w:hAnsi="Arial" w:cs="Arial"/>
          <w:bCs/>
          <w:sz w:val="20"/>
        </w:rPr>
        <w:t xml:space="preserve">te </w:t>
      </w:r>
      <w:r w:rsidRPr="000E3BCC">
        <w:rPr>
          <w:rFonts w:ascii="Arial" w:hAnsi="Arial" w:cs="Arial"/>
          <w:bCs/>
          <w:sz w:val="20"/>
        </w:rPr>
        <w:t>predstavlja</w:t>
      </w:r>
      <w:r>
        <w:rPr>
          <w:rFonts w:ascii="Arial" w:hAnsi="Arial" w:cs="Arial"/>
          <w:bCs/>
          <w:sz w:val="20"/>
        </w:rPr>
        <w:t xml:space="preserve"> </w:t>
      </w:r>
      <w:r w:rsidRPr="000E3BCC">
        <w:rPr>
          <w:rFonts w:ascii="Arial" w:hAnsi="Arial" w:cs="Arial"/>
          <w:bCs/>
          <w:sz w:val="20"/>
        </w:rPr>
        <w:t xml:space="preserve">saldo </w:t>
      </w:r>
      <w:r>
        <w:rPr>
          <w:rFonts w:ascii="Arial" w:hAnsi="Arial" w:cs="Arial"/>
          <w:bCs/>
          <w:sz w:val="20"/>
        </w:rPr>
        <w:t xml:space="preserve">manjka prihoda poslovanja (saldo računa 6-3), viška primitaka (saldo računa 8-5) te </w:t>
      </w:r>
      <w:r w:rsidRPr="000E3BCC">
        <w:rPr>
          <w:rFonts w:ascii="Arial" w:hAnsi="Arial" w:cs="Arial"/>
          <w:bCs/>
          <w:sz w:val="20"/>
        </w:rPr>
        <w:t xml:space="preserve">prenesenog viška </w:t>
      </w:r>
      <w:r>
        <w:rPr>
          <w:rFonts w:ascii="Arial" w:hAnsi="Arial" w:cs="Arial"/>
          <w:bCs/>
          <w:sz w:val="20"/>
        </w:rPr>
        <w:t xml:space="preserve"> prihoda iz prethodne godine.</w:t>
      </w:r>
      <w:r w:rsidR="00341CAF">
        <w:rPr>
          <w:rFonts w:ascii="Arial" w:hAnsi="Arial" w:cs="Arial"/>
          <w:bCs/>
          <w:sz w:val="20"/>
        </w:rPr>
        <w:t xml:space="preserve"> </w:t>
      </w:r>
      <w:r w:rsidRPr="000E3BCC">
        <w:rPr>
          <w:rFonts w:ascii="Arial" w:hAnsi="Arial" w:cs="Arial"/>
          <w:bCs/>
          <w:sz w:val="20"/>
        </w:rPr>
        <w:t xml:space="preserve">Navedeni manjak pojavljuje se radi promjene računovodstvenog evidentiranja </w:t>
      </w:r>
      <w:r w:rsidR="00341CAF">
        <w:rPr>
          <w:rFonts w:ascii="Arial" w:hAnsi="Arial" w:cs="Arial"/>
          <w:bCs/>
          <w:sz w:val="20"/>
        </w:rPr>
        <w:t xml:space="preserve">plaća koje je nastalo </w:t>
      </w:r>
      <w:r w:rsidRPr="000E3BCC">
        <w:rPr>
          <w:rFonts w:ascii="Arial" w:hAnsi="Arial" w:cs="Arial"/>
          <w:bCs/>
          <w:sz w:val="20"/>
        </w:rPr>
        <w:t>ukidanjem kontinuiranih rashoda od 01.01.2025. godine</w:t>
      </w:r>
      <w:r w:rsidR="00341CAF">
        <w:rPr>
          <w:rFonts w:ascii="Arial" w:hAnsi="Arial" w:cs="Arial"/>
          <w:bCs/>
          <w:sz w:val="20"/>
        </w:rPr>
        <w:t>. Navedeno</w:t>
      </w:r>
      <w:r>
        <w:rPr>
          <w:rFonts w:ascii="Arial" w:hAnsi="Arial" w:cs="Arial"/>
          <w:bCs/>
          <w:sz w:val="20"/>
        </w:rPr>
        <w:t xml:space="preserve"> znači da je u promatranom izvještajnom razdoblju iskazano</w:t>
      </w:r>
      <w:r w:rsidRPr="000E3BCC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 xml:space="preserve">sedam </w:t>
      </w:r>
      <w:r w:rsidRPr="000E3BCC">
        <w:rPr>
          <w:rFonts w:ascii="Arial" w:hAnsi="Arial" w:cs="Arial"/>
          <w:bCs/>
          <w:sz w:val="20"/>
        </w:rPr>
        <w:t>rashoda za plaće</w:t>
      </w:r>
      <w:r>
        <w:rPr>
          <w:rFonts w:ascii="Arial" w:hAnsi="Arial" w:cs="Arial"/>
          <w:bCs/>
          <w:sz w:val="20"/>
        </w:rPr>
        <w:t xml:space="preserve"> (</w:t>
      </w:r>
      <w:r w:rsidR="00341CAF">
        <w:rPr>
          <w:rFonts w:ascii="Arial" w:hAnsi="Arial" w:cs="Arial"/>
          <w:bCs/>
          <w:sz w:val="20"/>
        </w:rPr>
        <w:t>za</w:t>
      </w:r>
      <w:r>
        <w:rPr>
          <w:rFonts w:ascii="Arial" w:hAnsi="Arial" w:cs="Arial"/>
          <w:bCs/>
          <w:sz w:val="20"/>
        </w:rPr>
        <w:t xml:space="preserve"> 12.mj. 2024. do 6.</w:t>
      </w:r>
      <w:r w:rsidR="00341CAF">
        <w:rPr>
          <w:rFonts w:ascii="Arial" w:hAnsi="Arial" w:cs="Arial"/>
          <w:bCs/>
          <w:sz w:val="20"/>
        </w:rPr>
        <w:t xml:space="preserve"> mj. </w:t>
      </w:r>
      <w:r>
        <w:rPr>
          <w:rFonts w:ascii="Arial" w:hAnsi="Arial" w:cs="Arial"/>
          <w:bCs/>
          <w:sz w:val="20"/>
        </w:rPr>
        <w:t xml:space="preserve">2025.) dok su prihodi za </w:t>
      </w:r>
      <w:r w:rsidR="00341CAF">
        <w:rPr>
          <w:rFonts w:ascii="Arial" w:hAnsi="Arial" w:cs="Arial"/>
          <w:bCs/>
          <w:sz w:val="20"/>
        </w:rPr>
        <w:t xml:space="preserve">isplatu </w:t>
      </w:r>
      <w:r>
        <w:rPr>
          <w:rFonts w:ascii="Arial" w:hAnsi="Arial" w:cs="Arial"/>
          <w:bCs/>
          <w:sz w:val="20"/>
        </w:rPr>
        <w:t>plać</w:t>
      </w:r>
      <w:r w:rsidR="00341CAF">
        <w:rPr>
          <w:rFonts w:ascii="Arial" w:hAnsi="Arial" w:cs="Arial"/>
          <w:bCs/>
          <w:sz w:val="20"/>
        </w:rPr>
        <w:t>a</w:t>
      </w:r>
      <w:r>
        <w:rPr>
          <w:rFonts w:ascii="Arial" w:hAnsi="Arial" w:cs="Arial"/>
          <w:bCs/>
          <w:sz w:val="20"/>
        </w:rPr>
        <w:t xml:space="preserve"> iskazani za šest mjeseci</w:t>
      </w:r>
      <w:r w:rsidR="00341CAF">
        <w:rPr>
          <w:rFonts w:ascii="Arial" w:hAnsi="Arial" w:cs="Arial"/>
          <w:bCs/>
          <w:sz w:val="20"/>
        </w:rPr>
        <w:t xml:space="preserve"> (za 12.mj. 2024. do 5. mj. 2025.), odnosno obračunata je plaća za lipanj </w:t>
      </w:r>
      <w:r w:rsidR="00341CAF" w:rsidRPr="000E3BCC">
        <w:rPr>
          <w:rFonts w:ascii="Arial" w:hAnsi="Arial" w:cs="Arial"/>
          <w:bCs/>
          <w:sz w:val="20"/>
        </w:rPr>
        <w:t xml:space="preserve">2025. godine, a koja će biti isplaćena, odnosno uprihodovana u </w:t>
      </w:r>
      <w:r w:rsidR="00341CAF">
        <w:rPr>
          <w:rFonts w:ascii="Arial" w:hAnsi="Arial" w:cs="Arial"/>
          <w:bCs/>
          <w:sz w:val="20"/>
        </w:rPr>
        <w:t>srpnju</w:t>
      </w:r>
      <w:r w:rsidR="00341CAF" w:rsidRPr="000E3BCC">
        <w:rPr>
          <w:rFonts w:ascii="Arial" w:hAnsi="Arial" w:cs="Arial"/>
          <w:bCs/>
          <w:sz w:val="20"/>
        </w:rPr>
        <w:t>.</w:t>
      </w:r>
    </w:p>
    <w:p w14:paraId="7E06DCB9" w14:textId="4584AC74" w:rsidR="00266A87" w:rsidRPr="007D7277" w:rsidRDefault="00266A87" w:rsidP="00266A87">
      <w:pPr>
        <w:jc w:val="both"/>
        <w:rPr>
          <w:rFonts w:ascii="Arial" w:hAnsi="Arial" w:cs="Arial"/>
          <w:sz w:val="20"/>
        </w:rPr>
      </w:pPr>
    </w:p>
    <w:p w14:paraId="7F674EB0" w14:textId="5C5D4564" w:rsidR="007C2076" w:rsidRDefault="007C2076" w:rsidP="00225B2D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Praćenje rashoda omogućeno je i kroz posebni dio polugodišnjeg izvještaja o izvršenju financijskog plana u kojemu su rashodi iskazani prema organizacijskoj, izvorima financiranja i ekonomskoj klasifikaciji, raspoređenih u programe koji se sastoje od aktivnosti. Rashodi su u ovom polugodišnjem razdoblju raspoređeni u </w:t>
      </w:r>
      <w:r w:rsidR="003261C5">
        <w:rPr>
          <w:rFonts w:ascii="Arial" w:hAnsi="Arial" w:cs="Arial"/>
          <w:sz w:val="20"/>
        </w:rPr>
        <w:t xml:space="preserve">šest </w:t>
      </w:r>
      <w:r>
        <w:rPr>
          <w:rFonts w:ascii="Arial" w:hAnsi="Arial" w:cs="Arial"/>
          <w:sz w:val="20"/>
        </w:rPr>
        <w:t xml:space="preserve">programa te </w:t>
      </w:r>
      <w:r w:rsidR="007D7277">
        <w:rPr>
          <w:rFonts w:ascii="Arial" w:hAnsi="Arial" w:cs="Arial"/>
          <w:sz w:val="20"/>
        </w:rPr>
        <w:t>dvadeset i</w:t>
      </w:r>
      <w:r w:rsidR="0085521D">
        <w:rPr>
          <w:rFonts w:ascii="Arial" w:hAnsi="Arial" w:cs="Arial"/>
          <w:sz w:val="20"/>
        </w:rPr>
        <w:t xml:space="preserve"> </w:t>
      </w:r>
      <w:r w:rsidR="007D7277">
        <w:rPr>
          <w:rFonts w:ascii="Arial" w:hAnsi="Arial" w:cs="Arial"/>
          <w:sz w:val="20"/>
        </w:rPr>
        <w:t>jednu</w:t>
      </w:r>
      <w:r w:rsidR="005357BB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pripadajuć</w:t>
      </w:r>
      <w:r w:rsidR="007D7277">
        <w:rPr>
          <w:rFonts w:ascii="Arial" w:hAnsi="Arial" w:cs="Arial"/>
          <w:sz w:val="20"/>
        </w:rPr>
        <w:t>u</w:t>
      </w:r>
      <w:r>
        <w:rPr>
          <w:rFonts w:ascii="Arial" w:hAnsi="Arial" w:cs="Arial"/>
          <w:sz w:val="20"/>
        </w:rPr>
        <w:t xml:space="preserve"> aktivnost.</w:t>
      </w:r>
    </w:p>
    <w:p w14:paraId="017DD1B6" w14:textId="77777777" w:rsidR="00C964CF" w:rsidRPr="00F10C29" w:rsidRDefault="00C964CF" w:rsidP="00225B2D">
      <w:pPr>
        <w:jc w:val="both"/>
        <w:rPr>
          <w:rFonts w:ascii="Arial" w:hAnsi="Arial" w:cs="Arial"/>
          <w:sz w:val="20"/>
        </w:rPr>
      </w:pPr>
    </w:p>
    <w:p w14:paraId="48256D02" w14:textId="7C4A6855" w:rsidR="00266A87" w:rsidRDefault="00C964CF" w:rsidP="005C586C">
      <w:pPr>
        <w:jc w:val="both"/>
        <w:rPr>
          <w:rFonts w:ascii="Arial" w:hAnsi="Arial" w:cs="Arial"/>
          <w:b/>
          <w:bCs/>
          <w:sz w:val="20"/>
        </w:rPr>
      </w:pPr>
      <w:r w:rsidRPr="00C964CF">
        <w:rPr>
          <w:rFonts w:ascii="Arial" w:hAnsi="Arial" w:cs="Arial"/>
          <w:b/>
          <w:bCs/>
          <w:sz w:val="20"/>
        </w:rPr>
        <w:t xml:space="preserve">Izvještaj </w:t>
      </w:r>
      <w:r>
        <w:rPr>
          <w:rFonts w:ascii="Arial" w:hAnsi="Arial" w:cs="Arial"/>
          <w:b/>
          <w:bCs/>
          <w:sz w:val="20"/>
        </w:rPr>
        <w:t xml:space="preserve"> o zaduživanju na domaćem i stranom tržištu novca i kapitala</w:t>
      </w:r>
    </w:p>
    <w:p w14:paraId="07532B1C" w14:textId="2A1D3102" w:rsidR="00C964CF" w:rsidRDefault="00C964CF" w:rsidP="00C964CF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Ove godine Škola ima primitke i izdatke od zaduživanja po osnovi sklapanja ugovora o financijskom leasingu za nabavu vozila za djelatnost autoškole što je i vidljivo na računu financiranja. Sklapanju ugovora o leasingu prethodilo je dobivanje suglasnosti Istarske županije za zaduživanje od 19.11.2024. Ugovor je sklopljen s PBZ-Leasingom d.o.o. Zagreb 28.01.2025. </w:t>
      </w:r>
      <w:r w:rsidR="007E5576">
        <w:rPr>
          <w:rFonts w:ascii="Arial" w:hAnsi="Arial" w:cs="Arial"/>
          <w:sz w:val="20"/>
        </w:rPr>
        <w:t xml:space="preserve"> te je nabavljeno vozilo za djelatnost autoškole. </w:t>
      </w:r>
      <w:r>
        <w:rPr>
          <w:rFonts w:ascii="Arial" w:hAnsi="Arial" w:cs="Arial"/>
          <w:sz w:val="20"/>
        </w:rPr>
        <w:t>Ukupni iznos leasinga iznosi 12.538,39 eura, od toga se 10.659,49 eura odnosi na glavnicu, a 1.702,32 eura na kamate, dok su preostala sredstva ostali troškovi leasinga. U ovom polugodišnjem razdoblju iskazani su primici od zaduživanja koji su iznosili 10.659,49 eura te izdaci za dosadašnje otplaćeni leasing (glavnicu) u iznosu 768,69 eura. Otplata leasinga planirana je u razdoblju od pet godina od sklapanja ugovora iz vlastitih prihoda obavljanja navedene djelatnosti.</w:t>
      </w:r>
    </w:p>
    <w:p w14:paraId="1CA97451" w14:textId="77777777" w:rsidR="00C964CF" w:rsidRDefault="00C964CF" w:rsidP="00C964CF">
      <w:pPr>
        <w:jc w:val="both"/>
        <w:rPr>
          <w:rFonts w:ascii="Arial" w:hAnsi="Arial" w:cs="Arial"/>
          <w:sz w:val="20"/>
        </w:rPr>
      </w:pPr>
    </w:p>
    <w:p w14:paraId="7D37A7C6" w14:textId="77777777" w:rsidR="00C964CF" w:rsidRPr="00C964CF" w:rsidRDefault="00C964CF" w:rsidP="005C586C">
      <w:pPr>
        <w:jc w:val="both"/>
        <w:rPr>
          <w:rFonts w:ascii="Arial" w:hAnsi="Arial" w:cs="Arial"/>
          <w:b/>
          <w:bCs/>
          <w:sz w:val="20"/>
        </w:rPr>
      </w:pPr>
    </w:p>
    <w:p w14:paraId="679BA6BE" w14:textId="77777777" w:rsidR="002062D9" w:rsidRPr="002062D9" w:rsidRDefault="002062D9" w:rsidP="002062D9">
      <w:pPr>
        <w:jc w:val="both"/>
        <w:rPr>
          <w:rFonts w:ascii="Arial" w:hAnsi="Arial" w:cs="Arial"/>
          <w:b/>
          <w:bCs/>
          <w:sz w:val="20"/>
        </w:rPr>
      </w:pPr>
    </w:p>
    <w:p w14:paraId="1F42C8B6" w14:textId="2D328197" w:rsidR="006E6364" w:rsidRPr="006272F3" w:rsidRDefault="006E6364" w:rsidP="006E6364">
      <w:pPr>
        <w:ind w:left="5664"/>
        <w:jc w:val="both"/>
        <w:rPr>
          <w:rFonts w:ascii="Arial" w:hAnsi="Arial" w:cs="Arial"/>
          <w:bCs/>
          <w:sz w:val="20"/>
        </w:rPr>
      </w:pPr>
      <w:r w:rsidRPr="006272F3">
        <w:rPr>
          <w:rFonts w:ascii="Arial" w:hAnsi="Arial" w:cs="Arial"/>
          <w:bCs/>
          <w:sz w:val="20"/>
        </w:rPr>
        <w:t xml:space="preserve">            RAVNATELJICA</w:t>
      </w:r>
    </w:p>
    <w:p w14:paraId="435E36F1" w14:textId="601D4FA9" w:rsidR="00AF5E0F" w:rsidRDefault="006E6364" w:rsidP="006E6364">
      <w:pPr>
        <w:jc w:val="both"/>
        <w:rPr>
          <w:rFonts w:ascii="Arial" w:hAnsi="Arial" w:cs="Arial"/>
          <w:bCs/>
          <w:sz w:val="20"/>
        </w:rPr>
      </w:pPr>
      <w:r w:rsidRPr="006272F3">
        <w:rPr>
          <w:rFonts w:ascii="Arial" w:hAnsi="Arial" w:cs="Arial"/>
          <w:bCs/>
          <w:sz w:val="20"/>
        </w:rPr>
        <w:tab/>
      </w:r>
      <w:r w:rsidRPr="006272F3">
        <w:rPr>
          <w:rFonts w:ascii="Arial" w:hAnsi="Arial" w:cs="Arial"/>
          <w:bCs/>
          <w:sz w:val="20"/>
        </w:rPr>
        <w:tab/>
      </w:r>
      <w:r w:rsidRPr="006272F3">
        <w:rPr>
          <w:rFonts w:ascii="Arial" w:hAnsi="Arial" w:cs="Arial"/>
          <w:bCs/>
          <w:sz w:val="20"/>
        </w:rPr>
        <w:tab/>
      </w:r>
      <w:r w:rsidRPr="006272F3">
        <w:rPr>
          <w:rFonts w:ascii="Arial" w:hAnsi="Arial" w:cs="Arial"/>
          <w:bCs/>
          <w:sz w:val="20"/>
        </w:rPr>
        <w:tab/>
      </w:r>
      <w:r w:rsidRPr="006272F3">
        <w:rPr>
          <w:rFonts w:ascii="Arial" w:hAnsi="Arial" w:cs="Arial"/>
          <w:bCs/>
          <w:sz w:val="20"/>
        </w:rPr>
        <w:tab/>
      </w:r>
      <w:r w:rsidRPr="006272F3">
        <w:rPr>
          <w:rFonts w:ascii="Arial" w:hAnsi="Arial" w:cs="Arial"/>
          <w:bCs/>
          <w:sz w:val="20"/>
        </w:rPr>
        <w:tab/>
      </w:r>
      <w:r w:rsidRPr="006272F3">
        <w:rPr>
          <w:rFonts w:ascii="Arial" w:hAnsi="Arial" w:cs="Arial"/>
          <w:bCs/>
          <w:sz w:val="20"/>
        </w:rPr>
        <w:tab/>
        <w:t xml:space="preserve">                         Margareta Gumilar, prof</w:t>
      </w:r>
      <w:r w:rsidR="006272F3" w:rsidRPr="006272F3">
        <w:rPr>
          <w:rFonts w:ascii="Arial" w:hAnsi="Arial" w:cs="Arial"/>
          <w:bCs/>
          <w:sz w:val="20"/>
        </w:rPr>
        <w:t>.</w:t>
      </w:r>
    </w:p>
    <w:p w14:paraId="13648799" w14:textId="5F85F510" w:rsidR="00BB22E2" w:rsidRDefault="00BB22E2" w:rsidP="00BB22E2">
      <w:pPr>
        <w:jc w:val="both"/>
        <w:rPr>
          <w:sz w:val="20"/>
          <w:lang w:val="en-GB" w:eastAsia="en-US"/>
        </w:rPr>
      </w:pPr>
      <w:r>
        <w:rPr>
          <w:sz w:val="20"/>
          <w:lang w:val="en-GB" w:eastAsia="en-US"/>
        </w:rPr>
        <w:t xml:space="preserve">                                                                                                                                </w:t>
      </w:r>
      <w:bookmarkStart w:id="0" w:name="_GoBack"/>
      <w:bookmarkEnd w:id="0"/>
    </w:p>
    <w:p w14:paraId="39E1D846" w14:textId="0219A2C6" w:rsidR="00BB22E2" w:rsidRPr="006272F3" w:rsidRDefault="00BB22E2" w:rsidP="006E6364">
      <w:pPr>
        <w:jc w:val="both"/>
        <w:rPr>
          <w:rFonts w:ascii="Arial" w:hAnsi="Arial" w:cs="Arial"/>
          <w:sz w:val="22"/>
          <w:szCs w:val="22"/>
        </w:rPr>
      </w:pPr>
      <w:r>
        <w:rPr>
          <w:sz w:val="20"/>
          <w:lang w:val="en-GB" w:eastAsia="en-US"/>
        </w:rPr>
        <w:t xml:space="preserve">  </w:t>
      </w:r>
    </w:p>
    <w:sectPr w:rsidR="00BB22E2" w:rsidRPr="006272F3" w:rsidSect="00981A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9AE7F7" w14:textId="77777777" w:rsidR="00437D63" w:rsidRDefault="00437D63" w:rsidP="00AF5E0F">
      <w:r>
        <w:separator/>
      </w:r>
    </w:p>
  </w:endnote>
  <w:endnote w:type="continuationSeparator" w:id="0">
    <w:p w14:paraId="75B21A56" w14:textId="77777777" w:rsidR="00437D63" w:rsidRDefault="00437D63" w:rsidP="00AF5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B25CD6" w14:textId="77777777" w:rsidR="00437D63" w:rsidRDefault="00437D63" w:rsidP="00AF5E0F">
      <w:r>
        <w:separator/>
      </w:r>
    </w:p>
  </w:footnote>
  <w:footnote w:type="continuationSeparator" w:id="0">
    <w:p w14:paraId="33030939" w14:textId="77777777" w:rsidR="00437D63" w:rsidRDefault="00437D63" w:rsidP="00AF5E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8346F1"/>
    <w:multiLevelType w:val="hybridMultilevel"/>
    <w:tmpl w:val="3E1070CA"/>
    <w:lvl w:ilvl="0" w:tplc="4AEC969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E0634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86C"/>
    <w:rsid w:val="00000976"/>
    <w:rsid w:val="00002658"/>
    <w:rsid w:val="0001797F"/>
    <w:rsid w:val="000202B3"/>
    <w:rsid w:val="0002703A"/>
    <w:rsid w:val="0003008C"/>
    <w:rsid w:val="000411CE"/>
    <w:rsid w:val="00085C66"/>
    <w:rsid w:val="000931D4"/>
    <w:rsid w:val="000A7618"/>
    <w:rsid w:val="000C0B98"/>
    <w:rsid w:val="000C6452"/>
    <w:rsid w:val="000E3BB9"/>
    <w:rsid w:val="000E3BCC"/>
    <w:rsid w:val="00113626"/>
    <w:rsid w:val="00127141"/>
    <w:rsid w:val="00133A4B"/>
    <w:rsid w:val="00143984"/>
    <w:rsid w:val="001468D2"/>
    <w:rsid w:val="001842E8"/>
    <w:rsid w:val="0018568D"/>
    <w:rsid w:val="001C04C8"/>
    <w:rsid w:val="001C6286"/>
    <w:rsid w:val="001E530F"/>
    <w:rsid w:val="001E7EDF"/>
    <w:rsid w:val="001F573B"/>
    <w:rsid w:val="002062D9"/>
    <w:rsid w:val="00207739"/>
    <w:rsid w:val="00212413"/>
    <w:rsid w:val="002126E4"/>
    <w:rsid w:val="002134B7"/>
    <w:rsid w:val="002256D6"/>
    <w:rsid w:val="00225B2D"/>
    <w:rsid w:val="00242061"/>
    <w:rsid w:val="0026638F"/>
    <w:rsid w:val="00266A87"/>
    <w:rsid w:val="00273314"/>
    <w:rsid w:val="002934F9"/>
    <w:rsid w:val="00297EDD"/>
    <w:rsid w:val="002A4B88"/>
    <w:rsid w:val="002B48C5"/>
    <w:rsid w:val="002B65E4"/>
    <w:rsid w:val="002D44B9"/>
    <w:rsid w:val="002D5E0D"/>
    <w:rsid w:val="002E182D"/>
    <w:rsid w:val="002F6EC6"/>
    <w:rsid w:val="00300DAE"/>
    <w:rsid w:val="0031338A"/>
    <w:rsid w:val="003209C4"/>
    <w:rsid w:val="00320E79"/>
    <w:rsid w:val="00322573"/>
    <w:rsid w:val="003261C5"/>
    <w:rsid w:val="00341CAF"/>
    <w:rsid w:val="00343531"/>
    <w:rsid w:val="00346337"/>
    <w:rsid w:val="00392013"/>
    <w:rsid w:val="00392744"/>
    <w:rsid w:val="003B4F1D"/>
    <w:rsid w:val="003C24A6"/>
    <w:rsid w:val="003F2456"/>
    <w:rsid w:val="00437D63"/>
    <w:rsid w:val="0044289E"/>
    <w:rsid w:val="004527AB"/>
    <w:rsid w:val="00464026"/>
    <w:rsid w:val="00477DC8"/>
    <w:rsid w:val="004915D3"/>
    <w:rsid w:val="0049796C"/>
    <w:rsid w:val="004B0BE8"/>
    <w:rsid w:val="004C48CA"/>
    <w:rsid w:val="004D0276"/>
    <w:rsid w:val="00505026"/>
    <w:rsid w:val="005120BC"/>
    <w:rsid w:val="005266FA"/>
    <w:rsid w:val="005357BB"/>
    <w:rsid w:val="005368FD"/>
    <w:rsid w:val="00543127"/>
    <w:rsid w:val="005A2081"/>
    <w:rsid w:val="005C1C06"/>
    <w:rsid w:val="005C1D78"/>
    <w:rsid w:val="005C586C"/>
    <w:rsid w:val="005D4BDA"/>
    <w:rsid w:val="005E12DD"/>
    <w:rsid w:val="005F1087"/>
    <w:rsid w:val="005F5721"/>
    <w:rsid w:val="00600136"/>
    <w:rsid w:val="0060162B"/>
    <w:rsid w:val="006241AC"/>
    <w:rsid w:val="006272F3"/>
    <w:rsid w:val="006351E5"/>
    <w:rsid w:val="00641401"/>
    <w:rsid w:val="00646C8C"/>
    <w:rsid w:val="00655637"/>
    <w:rsid w:val="006627A9"/>
    <w:rsid w:val="00666D5A"/>
    <w:rsid w:val="00670DB8"/>
    <w:rsid w:val="006816B6"/>
    <w:rsid w:val="0068313C"/>
    <w:rsid w:val="00694905"/>
    <w:rsid w:val="006E15B9"/>
    <w:rsid w:val="006E6364"/>
    <w:rsid w:val="00705E3E"/>
    <w:rsid w:val="0071076B"/>
    <w:rsid w:val="00710E75"/>
    <w:rsid w:val="0072243C"/>
    <w:rsid w:val="007231FC"/>
    <w:rsid w:val="00725165"/>
    <w:rsid w:val="00762C14"/>
    <w:rsid w:val="00767D16"/>
    <w:rsid w:val="00784387"/>
    <w:rsid w:val="00793C8C"/>
    <w:rsid w:val="0079675E"/>
    <w:rsid w:val="007A3142"/>
    <w:rsid w:val="007C2076"/>
    <w:rsid w:val="007D7277"/>
    <w:rsid w:val="007E5576"/>
    <w:rsid w:val="007F2875"/>
    <w:rsid w:val="008152EA"/>
    <w:rsid w:val="00817C4B"/>
    <w:rsid w:val="00817F44"/>
    <w:rsid w:val="00825143"/>
    <w:rsid w:val="008345D6"/>
    <w:rsid w:val="00836946"/>
    <w:rsid w:val="00846B07"/>
    <w:rsid w:val="0085521D"/>
    <w:rsid w:val="008570E0"/>
    <w:rsid w:val="00875284"/>
    <w:rsid w:val="0089008B"/>
    <w:rsid w:val="008927F2"/>
    <w:rsid w:val="008C1EE9"/>
    <w:rsid w:val="008E51B5"/>
    <w:rsid w:val="009069EE"/>
    <w:rsid w:val="00913E05"/>
    <w:rsid w:val="00914A01"/>
    <w:rsid w:val="00971539"/>
    <w:rsid w:val="00981A2B"/>
    <w:rsid w:val="00992069"/>
    <w:rsid w:val="009B3DFC"/>
    <w:rsid w:val="009B7699"/>
    <w:rsid w:val="009E0621"/>
    <w:rsid w:val="009F0CFE"/>
    <w:rsid w:val="00A11701"/>
    <w:rsid w:val="00A147B2"/>
    <w:rsid w:val="00A204D8"/>
    <w:rsid w:val="00A43E3E"/>
    <w:rsid w:val="00A505D5"/>
    <w:rsid w:val="00A70642"/>
    <w:rsid w:val="00A709E0"/>
    <w:rsid w:val="00A73B38"/>
    <w:rsid w:val="00A93FA8"/>
    <w:rsid w:val="00A940A4"/>
    <w:rsid w:val="00AA3B1F"/>
    <w:rsid w:val="00AA5730"/>
    <w:rsid w:val="00AB51A9"/>
    <w:rsid w:val="00AF1392"/>
    <w:rsid w:val="00AF26D8"/>
    <w:rsid w:val="00AF5E0F"/>
    <w:rsid w:val="00B02F9C"/>
    <w:rsid w:val="00B1334E"/>
    <w:rsid w:val="00B14CED"/>
    <w:rsid w:val="00B24A60"/>
    <w:rsid w:val="00B43829"/>
    <w:rsid w:val="00B50754"/>
    <w:rsid w:val="00B657A2"/>
    <w:rsid w:val="00B75870"/>
    <w:rsid w:val="00B8012C"/>
    <w:rsid w:val="00B82430"/>
    <w:rsid w:val="00B839CB"/>
    <w:rsid w:val="00B876C8"/>
    <w:rsid w:val="00B96A0D"/>
    <w:rsid w:val="00B96A62"/>
    <w:rsid w:val="00BA2C63"/>
    <w:rsid w:val="00BB22E2"/>
    <w:rsid w:val="00C400FC"/>
    <w:rsid w:val="00C5253C"/>
    <w:rsid w:val="00C53D17"/>
    <w:rsid w:val="00C9218C"/>
    <w:rsid w:val="00C92F11"/>
    <w:rsid w:val="00C9389C"/>
    <w:rsid w:val="00C964CF"/>
    <w:rsid w:val="00CA25F4"/>
    <w:rsid w:val="00CE2247"/>
    <w:rsid w:val="00D06492"/>
    <w:rsid w:val="00D07E62"/>
    <w:rsid w:val="00D22769"/>
    <w:rsid w:val="00D2333E"/>
    <w:rsid w:val="00D41995"/>
    <w:rsid w:val="00D41AEA"/>
    <w:rsid w:val="00D4513D"/>
    <w:rsid w:val="00D9659C"/>
    <w:rsid w:val="00DB0BA5"/>
    <w:rsid w:val="00E024F4"/>
    <w:rsid w:val="00E11E0C"/>
    <w:rsid w:val="00E33A47"/>
    <w:rsid w:val="00E36679"/>
    <w:rsid w:val="00E514D0"/>
    <w:rsid w:val="00E626A7"/>
    <w:rsid w:val="00E67E91"/>
    <w:rsid w:val="00E72926"/>
    <w:rsid w:val="00E82C0E"/>
    <w:rsid w:val="00E86FA1"/>
    <w:rsid w:val="00E932A1"/>
    <w:rsid w:val="00EA659E"/>
    <w:rsid w:val="00EB3CD9"/>
    <w:rsid w:val="00EC1F26"/>
    <w:rsid w:val="00EC5BBF"/>
    <w:rsid w:val="00ED13CF"/>
    <w:rsid w:val="00EE0322"/>
    <w:rsid w:val="00EE727C"/>
    <w:rsid w:val="00EF0B70"/>
    <w:rsid w:val="00F10C29"/>
    <w:rsid w:val="00F2398D"/>
    <w:rsid w:val="00F4094D"/>
    <w:rsid w:val="00F40B0C"/>
    <w:rsid w:val="00F5005B"/>
    <w:rsid w:val="00F50DA7"/>
    <w:rsid w:val="00F52E57"/>
    <w:rsid w:val="00F544F7"/>
    <w:rsid w:val="00F701FD"/>
    <w:rsid w:val="00F929C7"/>
    <w:rsid w:val="00FC7DD2"/>
    <w:rsid w:val="00FD6D75"/>
    <w:rsid w:val="00FF77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A9112"/>
  <w15:docId w15:val="{05BC0AA9-C4F4-4E74-AF1A-D650E90C2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586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B96A0D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B96A0D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B96A0D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B96A0D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B96A0D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B96A0D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B96A0D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B96A0D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lang w:eastAsia="en-US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B96A0D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B96A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B96A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B96A0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B96A0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B96A0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B96A0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B96A0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B96A0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B96A0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B96A0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NaslovChar">
    <w:name w:val="Naslov Char"/>
    <w:basedOn w:val="Zadanifontodlomka"/>
    <w:link w:val="Naslov"/>
    <w:uiPriority w:val="10"/>
    <w:rsid w:val="00B96A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B96A0D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  <w:lang w:eastAsia="en-US"/>
    </w:rPr>
  </w:style>
  <w:style w:type="character" w:customStyle="1" w:styleId="PodnaslovChar">
    <w:name w:val="Podnaslov Char"/>
    <w:basedOn w:val="Zadanifontodlomka"/>
    <w:link w:val="Podnaslov"/>
    <w:uiPriority w:val="11"/>
    <w:rsid w:val="00B96A0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Naglaeno">
    <w:name w:val="Strong"/>
    <w:uiPriority w:val="22"/>
    <w:qFormat/>
    <w:rsid w:val="00B96A0D"/>
    <w:rPr>
      <w:b/>
      <w:bCs/>
    </w:rPr>
  </w:style>
  <w:style w:type="character" w:styleId="Istaknuto">
    <w:name w:val="Emphasis"/>
    <w:uiPriority w:val="20"/>
    <w:qFormat/>
    <w:rsid w:val="00B96A0D"/>
    <w:rPr>
      <w:i/>
      <w:iCs/>
    </w:rPr>
  </w:style>
  <w:style w:type="paragraph" w:styleId="Bezproreda">
    <w:name w:val="No Spacing"/>
    <w:basedOn w:val="Normal"/>
    <w:uiPriority w:val="1"/>
    <w:qFormat/>
    <w:rsid w:val="00B96A0D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dlomakpopisa">
    <w:name w:val="List Paragraph"/>
    <w:basedOn w:val="Normal"/>
    <w:uiPriority w:val="34"/>
    <w:qFormat/>
    <w:rsid w:val="00D2333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itat">
    <w:name w:val="Quote"/>
    <w:basedOn w:val="Normal"/>
    <w:next w:val="Normal"/>
    <w:link w:val="CitatChar"/>
    <w:uiPriority w:val="29"/>
    <w:qFormat/>
    <w:rsid w:val="00B96A0D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CitatChar">
    <w:name w:val="Citat Char"/>
    <w:basedOn w:val="Zadanifontodlomka"/>
    <w:link w:val="Citat"/>
    <w:uiPriority w:val="29"/>
    <w:rsid w:val="00B96A0D"/>
    <w:rPr>
      <w:i/>
      <w:iCs/>
      <w:color w:val="000000" w:themeColor="text1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B96A0D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B96A0D"/>
    <w:rPr>
      <w:b/>
      <w:bCs/>
      <w:i/>
      <w:iCs/>
      <w:color w:val="4F81BD" w:themeColor="accent1"/>
    </w:rPr>
  </w:style>
  <w:style w:type="character" w:styleId="Neupadljivoisticanje">
    <w:name w:val="Subtle Emphasis"/>
    <w:uiPriority w:val="19"/>
    <w:qFormat/>
    <w:rsid w:val="00B96A0D"/>
    <w:rPr>
      <w:i/>
      <w:iCs/>
      <w:color w:val="808080" w:themeColor="text1" w:themeTint="7F"/>
    </w:rPr>
  </w:style>
  <w:style w:type="character" w:styleId="Jakoisticanje">
    <w:name w:val="Intense Emphasis"/>
    <w:uiPriority w:val="21"/>
    <w:qFormat/>
    <w:rsid w:val="00B96A0D"/>
    <w:rPr>
      <w:b/>
      <w:bCs/>
      <w:i/>
      <w:iCs/>
      <w:color w:val="4F81BD" w:themeColor="accent1"/>
    </w:rPr>
  </w:style>
  <w:style w:type="character" w:styleId="Neupadljivareferenca">
    <w:name w:val="Subtle Reference"/>
    <w:uiPriority w:val="31"/>
    <w:qFormat/>
    <w:rsid w:val="00B96A0D"/>
    <w:rPr>
      <w:smallCaps/>
      <w:color w:val="C0504D" w:themeColor="accent2"/>
      <w:u w:val="single"/>
    </w:rPr>
  </w:style>
  <w:style w:type="character" w:styleId="Istaknutareferenca">
    <w:name w:val="Intense Reference"/>
    <w:uiPriority w:val="32"/>
    <w:qFormat/>
    <w:rsid w:val="00B96A0D"/>
    <w:rPr>
      <w:b/>
      <w:bCs/>
      <w:smallCaps/>
      <w:color w:val="C0504D" w:themeColor="accent2"/>
      <w:spacing w:val="5"/>
      <w:u w:val="single"/>
    </w:rPr>
  </w:style>
  <w:style w:type="character" w:styleId="Naslovknjige">
    <w:name w:val="Book Title"/>
    <w:uiPriority w:val="33"/>
    <w:qFormat/>
    <w:rsid w:val="00B96A0D"/>
    <w:rPr>
      <w:b/>
      <w:bCs/>
      <w:smallCaps/>
      <w:spacing w:val="5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B96A0D"/>
    <w:pPr>
      <w:outlineLvl w:val="9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C586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C586C"/>
    <w:rPr>
      <w:rFonts w:ascii="Tahoma" w:eastAsia="Times New Roman" w:hAnsi="Tahoma" w:cs="Tahoma"/>
      <w:sz w:val="16"/>
      <w:szCs w:val="16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AF5E0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F5E0F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AF5E0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F5E0F"/>
    <w:rPr>
      <w:rFonts w:ascii="Times New Roman" w:eastAsia="Times New Roman" w:hAnsi="Times New Roman" w:cs="Times New Roman"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7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1228</Words>
  <Characters>7006</Characters>
  <Application>Microsoft Office Word</Application>
  <DocSecurity>0</DocSecurity>
  <Lines>58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obrazloženje</dc:title>
  <dc:creator>Racunovodstvo</dc:creator>
  <cp:lastModifiedBy>Agapito</cp:lastModifiedBy>
  <cp:revision>7</cp:revision>
  <cp:lastPrinted>2025-08-05T20:49:00Z</cp:lastPrinted>
  <dcterms:created xsi:type="dcterms:W3CDTF">2025-07-21T10:14:00Z</dcterms:created>
  <dcterms:modified xsi:type="dcterms:W3CDTF">2025-08-05T20:50:00Z</dcterms:modified>
</cp:coreProperties>
</file>