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00"/>
        <w:gridCol w:w="3200"/>
        <w:gridCol w:w="1400"/>
        <w:gridCol w:w="3412"/>
      </w:tblGrid>
      <w:tr w:rsidR="005C586C" w:rsidRPr="0047744B" w14:paraId="0B9BC449" w14:textId="77777777" w:rsidTr="00A17E33">
        <w:trPr>
          <w:cantSplit/>
        </w:trPr>
        <w:tc>
          <w:tcPr>
            <w:tcW w:w="1900" w:type="dxa"/>
            <w:vMerge w:val="restart"/>
            <w:tcBorders>
              <w:bottom w:val="double" w:sz="4" w:space="0" w:color="auto"/>
            </w:tcBorders>
          </w:tcPr>
          <w:p w14:paraId="382F9993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  <w:r w:rsidRPr="0047744B">
              <w:rPr>
                <w:b/>
                <w:sz w:val="20"/>
                <w:lang w:eastAsia="en-US"/>
              </w:rPr>
              <w:br w:type="page"/>
            </w:r>
            <w:r w:rsidRPr="0047744B">
              <w:rPr>
                <w:sz w:val="20"/>
                <w:lang w:eastAsia="en-US"/>
              </w:rPr>
              <w:br w:type="page"/>
            </w:r>
            <w:r w:rsidRPr="0047744B">
              <w:rPr>
                <w:noProof/>
              </w:rPr>
              <w:drawing>
                <wp:inline distT="0" distB="0" distL="0" distR="0" wp14:anchorId="60AF0E9E" wp14:editId="36D0A5DB">
                  <wp:extent cx="1078230" cy="983615"/>
                  <wp:effectExtent l="19050" t="0" r="7620" b="0"/>
                  <wp:docPr id="2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3"/>
          </w:tcPr>
          <w:p w14:paraId="15237066" w14:textId="77777777" w:rsidR="005C586C" w:rsidRPr="0047744B" w:rsidRDefault="005C586C" w:rsidP="00A17E33">
            <w:pPr>
              <w:keepNext/>
              <w:spacing w:after="60"/>
              <w:jc w:val="center"/>
              <w:outlineLvl w:val="2"/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</w:pPr>
            <w:proofErr w:type="spellStart"/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 w:eastAsia="en-US"/>
              </w:rPr>
              <w:t>SrednjaškolaBuzet</w:t>
            </w:r>
            <w:proofErr w:type="spellEnd"/>
          </w:p>
        </w:tc>
      </w:tr>
      <w:tr w:rsidR="005C586C" w:rsidRPr="0047744B" w14:paraId="58992AAF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71C5E614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8012" w:type="dxa"/>
            <w:gridSpan w:val="3"/>
          </w:tcPr>
          <w:p w14:paraId="50188AFF" w14:textId="77777777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it-IT" w:eastAsia="en-US"/>
              </w:rPr>
            </w:pPr>
            <w:r w:rsidRPr="0047744B">
              <w:rPr>
                <w:rFonts w:ascii="Bookman Old Style" w:hAnsi="Bookman Old Style"/>
                <w:lang w:val="it-IT" w:eastAsia="en-US"/>
              </w:rPr>
              <w:t xml:space="preserve">52420 Buzet,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AntunaCerovca-Tončića</w:t>
            </w:r>
            <w:proofErr w:type="spellEnd"/>
            <w:r w:rsidRPr="0047744B">
              <w:rPr>
                <w:rFonts w:ascii="Bookman Old Style" w:hAnsi="Bookman Old Style"/>
                <w:lang w:val="it-IT" w:eastAsia="en-US"/>
              </w:rPr>
              <w:t xml:space="preserve"> 7        </w:t>
            </w:r>
            <w:proofErr w:type="spellStart"/>
            <w:r w:rsidRPr="0047744B">
              <w:rPr>
                <w:rFonts w:ascii="Bookman Old Style" w:hAnsi="Bookman Old Style"/>
                <w:lang w:val="it-IT" w:eastAsia="en-US"/>
              </w:rPr>
              <w:t>oib</w:t>
            </w:r>
            <w:proofErr w:type="spellEnd"/>
            <w:r w:rsidRPr="0047744B">
              <w:rPr>
                <w:rFonts w:ascii="Bookman Old Style" w:hAnsi="Bookman Old Style"/>
                <w:lang w:val="it-IT" w:eastAsia="en-US"/>
              </w:rPr>
              <w:t>: 93755291191</w:t>
            </w:r>
          </w:p>
        </w:tc>
      </w:tr>
      <w:tr w:rsidR="005C586C" w:rsidRPr="0047744B" w14:paraId="3C27F2E5" w14:textId="77777777" w:rsidTr="00A17E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07075172" w14:textId="77777777" w:rsidR="005C586C" w:rsidRPr="0047744B" w:rsidRDefault="005C586C" w:rsidP="00A17E33">
            <w:pPr>
              <w:spacing w:before="40" w:after="40"/>
              <w:rPr>
                <w:lang w:val="it-IT" w:eastAsia="en-US"/>
              </w:rPr>
            </w:pPr>
          </w:p>
        </w:tc>
        <w:tc>
          <w:tcPr>
            <w:tcW w:w="8012" w:type="dxa"/>
            <w:gridSpan w:val="3"/>
          </w:tcPr>
          <w:p w14:paraId="3ECC3C09" w14:textId="77777777" w:rsidR="005C586C" w:rsidRPr="0047744B" w:rsidRDefault="005C586C" w:rsidP="00A17E33">
            <w:pPr>
              <w:spacing w:before="40" w:after="40"/>
              <w:jc w:val="center"/>
              <w:rPr>
                <w:rFonts w:ascii="Bookman Old Style" w:hAnsi="Bookman Old Style"/>
                <w:lang w:val="en-GB" w:eastAsia="en-US"/>
              </w:rPr>
            </w:pPr>
            <w:r w:rsidRPr="0047744B">
              <w:rPr>
                <w:rFonts w:ascii="Bookman Old Style" w:hAnsi="Bookman Old Style"/>
                <w:lang w:val="en-GB" w:eastAsia="en-US"/>
              </w:rPr>
              <w:t>tel. 052/662-764, 662-707  fax 052/662-056GSM 091/526-0421</w:t>
            </w:r>
          </w:p>
        </w:tc>
      </w:tr>
      <w:tr w:rsidR="005C586C" w:rsidRPr="0047744B" w14:paraId="55A7182D" w14:textId="77777777" w:rsidTr="00A17E33">
        <w:trPr>
          <w:cantSplit/>
          <w:trHeight w:val="382"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639E1BEC" w14:textId="77777777" w:rsidR="005C586C" w:rsidRPr="0047744B" w:rsidRDefault="005C586C" w:rsidP="00A17E33">
            <w:pPr>
              <w:spacing w:before="40" w:after="40"/>
              <w:rPr>
                <w:lang w:val="en-GB" w:eastAsia="en-US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14:paraId="43A219AE" w14:textId="77777777" w:rsidR="005C586C" w:rsidRPr="0047744B" w:rsidRDefault="005C586C" w:rsidP="00A17E33">
            <w:pPr>
              <w:spacing w:before="40" w:after="40"/>
              <w:jc w:val="right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e-mail: ss-buzet@ri.t-com.hr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3CC00619" w14:textId="77777777" w:rsidR="005C586C" w:rsidRPr="0047744B" w:rsidRDefault="005C586C" w:rsidP="00A17E33">
            <w:pPr>
              <w:spacing w:before="40" w:after="40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</w:p>
        </w:tc>
        <w:tc>
          <w:tcPr>
            <w:tcW w:w="3412" w:type="dxa"/>
            <w:tcBorders>
              <w:bottom w:val="double" w:sz="4" w:space="0" w:color="auto"/>
            </w:tcBorders>
          </w:tcPr>
          <w:p w14:paraId="2DB6B76A" w14:textId="77777777" w:rsidR="005C586C" w:rsidRPr="0047744B" w:rsidRDefault="005C586C" w:rsidP="00A17E33">
            <w:pPr>
              <w:spacing w:before="40" w:after="40"/>
              <w:ind w:right="-888"/>
              <w:rPr>
                <w:rFonts w:ascii="Bookman Old Style" w:hAnsi="Bookman Old Style"/>
                <w:sz w:val="21"/>
                <w:szCs w:val="21"/>
                <w:lang w:val="fr-FR" w:eastAsia="en-US"/>
              </w:rPr>
            </w:pPr>
            <w:r w:rsidRPr="0047744B">
              <w:rPr>
                <w:rFonts w:ascii="Bookman Old Style" w:hAnsi="Bookman Old Style"/>
                <w:sz w:val="21"/>
                <w:szCs w:val="21"/>
                <w:lang w:val="fr-FR" w:eastAsia="en-US"/>
              </w:rPr>
              <w:t>http://www.ss-buzet.skole.hr</w:t>
            </w:r>
          </w:p>
        </w:tc>
      </w:tr>
    </w:tbl>
    <w:p w14:paraId="065758CF" w14:textId="77777777" w:rsidR="005C586C" w:rsidRPr="005C586C" w:rsidRDefault="005C586C" w:rsidP="005C586C">
      <w:pPr>
        <w:rPr>
          <w:rFonts w:ascii="Arial" w:hAnsi="Arial" w:cs="Arial"/>
          <w:sz w:val="22"/>
          <w:szCs w:val="22"/>
        </w:rPr>
      </w:pPr>
    </w:p>
    <w:p w14:paraId="12F427C0" w14:textId="2A6C3A55" w:rsidR="005E33E0" w:rsidRDefault="005E33E0" w:rsidP="005E33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KLASA: 400-04/23-01/01</w:t>
      </w:r>
    </w:p>
    <w:p w14:paraId="3BA59C0F" w14:textId="396704D4" w:rsidR="005E33E0" w:rsidRDefault="005E33E0" w:rsidP="005E33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URBROJ: 2106-24-23-2</w:t>
      </w:r>
    </w:p>
    <w:p w14:paraId="7F5F53DA" w14:textId="149A2E59" w:rsidR="005C586C" w:rsidRPr="00EB3CD9" w:rsidRDefault="005C586C" w:rsidP="005C586C">
      <w:pPr>
        <w:rPr>
          <w:rFonts w:ascii="Arial" w:hAnsi="Arial" w:cs="Arial"/>
          <w:sz w:val="20"/>
        </w:rPr>
      </w:pPr>
      <w:r w:rsidRPr="00EB3CD9">
        <w:rPr>
          <w:rFonts w:ascii="Arial" w:hAnsi="Arial" w:cs="Arial"/>
          <w:sz w:val="20"/>
        </w:rPr>
        <w:t>Buzet</w:t>
      </w:r>
      <w:r w:rsidR="005E33E0">
        <w:rPr>
          <w:rFonts w:ascii="Arial" w:hAnsi="Arial" w:cs="Arial"/>
          <w:sz w:val="20"/>
        </w:rPr>
        <w:t>, 28. ožujka</w:t>
      </w:r>
      <w:r w:rsidR="00666D5A" w:rsidRPr="00EB3CD9">
        <w:rPr>
          <w:rFonts w:ascii="Arial" w:hAnsi="Arial" w:cs="Arial"/>
          <w:sz w:val="20"/>
        </w:rPr>
        <w:t xml:space="preserve"> </w:t>
      </w:r>
      <w:r w:rsidRPr="00EB3CD9">
        <w:rPr>
          <w:rFonts w:ascii="Arial" w:hAnsi="Arial" w:cs="Arial"/>
          <w:sz w:val="20"/>
        </w:rPr>
        <w:t>202</w:t>
      </w:r>
      <w:r w:rsidR="00E36AC6">
        <w:rPr>
          <w:rFonts w:ascii="Arial" w:hAnsi="Arial" w:cs="Arial"/>
          <w:sz w:val="20"/>
        </w:rPr>
        <w:t>3</w:t>
      </w:r>
      <w:r w:rsidRPr="00EB3CD9">
        <w:rPr>
          <w:rFonts w:ascii="Arial" w:hAnsi="Arial" w:cs="Arial"/>
          <w:sz w:val="20"/>
        </w:rPr>
        <w:t>. godine</w:t>
      </w:r>
    </w:p>
    <w:p w14:paraId="0720D553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11A47FD6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6EC8EE6F" w14:textId="77777777" w:rsidR="00477DC8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  <w:r w:rsidRPr="005C586C">
        <w:rPr>
          <w:rFonts w:ascii="Arial" w:hAnsi="Arial" w:cs="Arial"/>
          <w:b/>
          <w:sz w:val="22"/>
          <w:szCs w:val="22"/>
        </w:rPr>
        <w:t>OBRAZLOŽENJE  IZVJEŠTAJA O IZVRŠENJU FINANCIJSKOG PLANA</w:t>
      </w:r>
    </w:p>
    <w:p w14:paraId="2D701348" w14:textId="61A7ED45" w:rsidR="005C586C" w:rsidRPr="005C586C" w:rsidRDefault="00725165" w:rsidP="005C58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ZA 202</w:t>
      </w:r>
      <w:r w:rsidR="00E36AC6">
        <w:rPr>
          <w:rFonts w:ascii="Arial" w:hAnsi="Arial" w:cs="Arial"/>
          <w:b/>
          <w:sz w:val="22"/>
          <w:szCs w:val="22"/>
        </w:rPr>
        <w:t>2</w:t>
      </w:r>
      <w:r w:rsidR="005C586C" w:rsidRPr="005C586C">
        <w:rPr>
          <w:rFonts w:ascii="Arial" w:hAnsi="Arial" w:cs="Arial"/>
          <w:b/>
          <w:sz w:val="22"/>
          <w:szCs w:val="22"/>
        </w:rPr>
        <w:t>. GODINU</w:t>
      </w:r>
    </w:p>
    <w:p w14:paraId="3FA08DD8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0D6E6566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5F34A9EF" w14:textId="77777777" w:rsidR="005C586C" w:rsidRPr="005C586C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0268124A" w14:textId="77777777" w:rsidR="00981A2B" w:rsidRPr="00EB3CD9" w:rsidRDefault="005C586C">
      <w:pPr>
        <w:rPr>
          <w:rFonts w:ascii="Arial" w:hAnsi="Arial" w:cs="Arial"/>
          <w:sz w:val="20"/>
        </w:rPr>
      </w:pPr>
      <w:r w:rsidRPr="00EB3CD9">
        <w:rPr>
          <w:rFonts w:ascii="Arial" w:hAnsi="Arial" w:cs="Arial"/>
          <w:sz w:val="20"/>
        </w:rPr>
        <w:t xml:space="preserve">Broj  RKP: 17101 </w:t>
      </w:r>
    </w:p>
    <w:p w14:paraId="6D9259E7" w14:textId="77777777" w:rsidR="00666D5A" w:rsidRPr="00EB3CD9" w:rsidRDefault="00666D5A">
      <w:pPr>
        <w:rPr>
          <w:rFonts w:ascii="Arial" w:hAnsi="Arial" w:cs="Arial"/>
          <w:sz w:val="20"/>
        </w:rPr>
      </w:pPr>
    </w:p>
    <w:p w14:paraId="228FD587" w14:textId="77777777" w:rsidR="005C586C" w:rsidRPr="00F10C29" w:rsidRDefault="005C586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Srednja škola Buzet </w:t>
      </w:r>
      <w:r w:rsidR="00666D5A" w:rsidRPr="00F10C29">
        <w:rPr>
          <w:rFonts w:ascii="Arial" w:hAnsi="Arial" w:cs="Arial"/>
          <w:sz w:val="20"/>
        </w:rPr>
        <w:t xml:space="preserve">(u daljnjem tekstu: Škola) </w:t>
      </w:r>
      <w:r w:rsidRPr="00F10C29">
        <w:rPr>
          <w:rFonts w:ascii="Arial" w:hAnsi="Arial" w:cs="Arial"/>
          <w:sz w:val="20"/>
        </w:rPr>
        <w:t>proračunski</w:t>
      </w:r>
      <w:r w:rsidR="004527AB">
        <w:rPr>
          <w:rFonts w:ascii="Arial" w:hAnsi="Arial" w:cs="Arial"/>
          <w:sz w:val="20"/>
        </w:rPr>
        <w:t xml:space="preserve"> je</w:t>
      </w:r>
      <w:r w:rsidRPr="00F10C29">
        <w:rPr>
          <w:rFonts w:ascii="Arial" w:hAnsi="Arial" w:cs="Arial"/>
          <w:sz w:val="20"/>
        </w:rPr>
        <w:t xml:space="preserve"> korisnik jedinice p</w:t>
      </w:r>
      <w:r w:rsidR="004527AB">
        <w:rPr>
          <w:rFonts w:ascii="Arial" w:hAnsi="Arial" w:cs="Arial"/>
          <w:sz w:val="20"/>
        </w:rPr>
        <w:t>odručne (regionalne) samouprave</w:t>
      </w:r>
      <w:r w:rsidR="00BA2C63" w:rsidRPr="00F10C29">
        <w:rPr>
          <w:rFonts w:ascii="Arial" w:hAnsi="Arial" w:cs="Arial"/>
          <w:sz w:val="20"/>
        </w:rPr>
        <w:t xml:space="preserve"> čija osnivačka prava obavlja Istarska županija.</w:t>
      </w:r>
    </w:p>
    <w:p w14:paraId="02FF6819" w14:textId="77777777" w:rsidR="00E86FA1" w:rsidRPr="00F10C29" w:rsidRDefault="00E86FA1" w:rsidP="005C586C">
      <w:pPr>
        <w:jc w:val="both"/>
        <w:rPr>
          <w:rFonts w:ascii="Arial" w:hAnsi="Arial" w:cs="Arial"/>
          <w:sz w:val="20"/>
        </w:rPr>
      </w:pPr>
    </w:p>
    <w:p w14:paraId="1B494892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Škola je javna ustanova koja obavlja djelatnost srednjeg odgoja i obrazovanja u skladu s aktom o osnivanju Škole i rješenjima ministarstva nadležnog za poslove obrazovanja.</w:t>
      </w:r>
    </w:p>
    <w:p w14:paraId="6571D970" w14:textId="77777777" w:rsidR="00E86FA1" w:rsidRPr="00F10C29" w:rsidRDefault="00E86FA1" w:rsidP="00E86FA1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Djelatnost Škole obuhvaća odgoj i obrazovanje te izvođenje programa srednjoškolskog obrazovanja mladeži i odraslih za stjecanje srednje i niže stručne spreme, programe osposobljavanja i usavršavanja za zanimanja te djelatnost autoškole. Djelatnost, odnosno programe, Škola ostvaruje na osnovi propisanog nastavnog plana i programa.</w:t>
      </w:r>
    </w:p>
    <w:p w14:paraId="5BAF8AB5" w14:textId="796C6497" w:rsidR="00E86FA1" w:rsidRDefault="00E86FA1" w:rsidP="00E86FA1">
      <w:pPr>
        <w:jc w:val="both"/>
        <w:rPr>
          <w:rFonts w:ascii="Arial" w:hAnsi="Arial" w:cs="Arial"/>
          <w:sz w:val="20"/>
        </w:rPr>
      </w:pPr>
    </w:p>
    <w:p w14:paraId="399B6933" w14:textId="5FFF8D0D" w:rsidR="00E36AC6" w:rsidRDefault="00E36AC6" w:rsidP="00E36AC6">
      <w:pPr>
        <w:jc w:val="both"/>
        <w:rPr>
          <w:rFonts w:ascii="Arial" w:hAnsi="Arial" w:cs="Arial"/>
          <w:sz w:val="20"/>
        </w:rPr>
      </w:pPr>
      <w:r w:rsidRPr="00E36AC6">
        <w:rPr>
          <w:rFonts w:ascii="Arial" w:hAnsi="Arial" w:cs="Arial"/>
          <w:sz w:val="20"/>
        </w:rPr>
        <w:t>Redovno obrazovanje u školskog godini 2021./2022. organizirano je kroz trogodišnje strukovno obrazovanje (strojarstvo, elektrotehnika) za 28 učenika, četverog</w:t>
      </w:r>
      <w:r w:rsidR="00D1428D">
        <w:rPr>
          <w:rFonts w:ascii="Arial" w:hAnsi="Arial" w:cs="Arial"/>
          <w:sz w:val="20"/>
        </w:rPr>
        <w:t>odišnje strukovno obrazovanje (</w:t>
      </w:r>
      <w:r w:rsidRPr="00E36AC6">
        <w:rPr>
          <w:rFonts w:ascii="Arial" w:hAnsi="Arial" w:cs="Arial"/>
          <w:sz w:val="20"/>
        </w:rPr>
        <w:t>elektrotehnika) za 60 učenika, te  progr</w:t>
      </w:r>
      <w:r w:rsidR="00D1428D">
        <w:rPr>
          <w:rFonts w:ascii="Arial" w:hAnsi="Arial" w:cs="Arial"/>
          <w:sz w:val="20"/>
        </w:rPr>
        <w:t>am opće gimnazije za 66 učenika</w:t>
      </w:r>
      <w:r w:rsidRPr="00E36AC6">
        <w:rPr>
          <w:rFonts w:ascii="Arial" w:hAnsi="Arial" w:cs="Arial"/>
          <w:sz w:val="20"/>
        </w:rPr>
        <w:t xml:space="preserve"> što ukupno iznosi 154 učenika, dok su u školsku godinu 2022./2023. upisana 172 učenika.</w:t>
      </w:r>
    </w:p>
    <w:p w14:paraId="01DA06EB" w14:textId="77777777" w:rsidR="00E36AC6" w:rsidRPr="00E36AC6" w:rsidRDefault="00E36AC6" w:rsidP="00E36AC6">
      <w:pPr>
        <w:jc w:val="both"/>
        <w:rPr>
          <w:rFonts w:ascii="Arial" w:hAnsi="Arial" w:cs="Arial"/>
          <w:sz w:val="20"/>
        </w:rPr>
      </w:pPr>
    </w:p>
    <w:p w14:paraId="1A1F931C" w14:textId="6D418812" w:rsidR="00E36AC6" w:rsidRPr="00E36AC6" w:rsidRDefault="00D1428D" w:rsidP="00E36AC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Školi je ukupno zaposlen</w:t>
      </w:r>
      <w:r w:rsidR="00E36AC6" w:rsidRPr="00E36AC6">
        <w:rPr>
          <w:rFonts w:ascii="Arial" w:hAnsi="Arial" w:cs="Arial"/>
          <w:sz w:val="20"/>
        </w:rPr>
        <w:t xml:space="preserve"> 41</w:t>
      </w:r>
      <w:r>
        <w:rPr>
          <w:rFonts w:ascii="Arial" w:hAnsi="Arial" w:cs="Arial"/>
          <w:sz w:val="20"/>
        </w:rPr>
        <w:t xml:space="preserve"> djelatnik i to:</w:t>
      </w:r>
      <w:r w:rsidR="00E36AC6" w:rsidRPr="00E36AC6">
        <w:rPr>
          <w:rFonts w:ascii="Arial" w:hAnsi="Arial" w:cs="Arial"/>
          <w:sz w:val="20"/>
        </w:rPr>
        <w:t xml:space="preserve"> 32 nastavnika, jedan stručni suradnik, 5 administrativno tehničkih djelatni</w:t>
      </w:r>
      <w:r>
        <w:rPr>
          <w:rFonts w:ascii="Arial" w:hAnsi="Arial" w:cs="Arial"/>
          <w:sz w:val="20"/>
        </w:rPr>
        <w:t>ka,</w:t>
      </w:r>
      <w:r w:rsidR="00E36AC6" w:rsidRPr="00E36AC6">
        <w:rPr>
          <w:rFonts w:ascii="Arial" w:hAnsi="Arial" w:cs="Arial"/>
          <w:sz w:val="20"/>
        </w:rPr>
        <w:t xml:space="preserve"> dva djelatnika autoškole i ravnateljica.</w:t>
      </w:r>
    </w:p>
    <w:p w14:paraId="10E67353" w14:textId="77777777" w:rsidR="00666D5A" w:rsidRPr="00F10C29" w:rsidRDefault="00666D5A" w:rsidP="00666D5A">
      <w:pPr>
        <w:jc w:val="both"/>
        <w:rPr>
          <w:rFonts w:ascii="Arial" w:hAnsi="Arial" w:cs="Arial"/>
          <w:sz w:val="20"/>
        </w:rPr>
      </w:pPr>
    </w:p>
    <w:p w14:paraId="73E2F2CB" w14:textId="74296572" w:rsidR="005C586C" w:rsidRPr="00F10C29" w:rsidRDefault="00BA2C63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Ukupni prihodi za 202</w:t>
      </w:r>
      <w:r w:rsidR="00E36AC6">
        <w:rPr>
          <w:rFonts w:ascii="Arial" w:hAnsi="Arial" w:cs="Arial"/>
          <w:sz w:val="20"/>
        </w:rPr>
        <w:t>2</w:t>
      </w:r>
      <w:r w:rsidR="009B3DFC" w:rsidRPr="00F10C29">
        <w:rPr>
          <w:rFonts w:ascii="Arial" w:hAnsi="Arial" w:cs="Arial"/>
          <w:sz w:val="20"/>
        </w:rPr>
        <w:t xml:space="preserve">. godinu iznosili su </w:t>
      </w:r>
      <w:r w:rsidR="00E36AC6">
        <w:rPr>
          <w:rFonts w:ascii="Arial" w:hAnsi="Arial" w:cs="Arial"/>
          <w:sz w:val="20"/>
        </w:rPr>
        <w:t xml:space="preserve">6.794.647,10 </w:t>
      </w:r>
      <w:r w:rsidR="009B3DFC" w:rsidRPr="00F10C29">
        <w:rPr>
          <w:rFonts w:ascii="Arial" w:hAnsi="Arial" w:cs="Arial"/>
          <w:sz w:val="20"/>
        </w:rPr>
        <w:t xml:space="preserve">kuna što je </w:t>
      </w:r>
      <w:r w:rsidR="005C1D78" w:rsidRPr="00F10C29">
        <w:rPr>
          <w:rFonts w:ascii="Arial" w:hAnsi="Arial" w:cs="Arial"/>
          <w:sz w:val="20"/>
        </w:rPr>
        <w:t>9</w:t>
      </w:r>
      <w:r w:rsidR="00E36AC6">
        <w:rPr>
          <w:rFonts w:ascii="Arial" w:hAnsi="Arial" w:cs="Arial"/>
          <w:sz w:val="20"/>
        </w:rPr>
        <w:t>5</w:t>
      </w:r>
      <w:r w:rsidR="005C1D78" w:rsidRPr="00F10C29">
        <w:rPr>
          <w:rFonts w:ascii="Arial" w:hAnsi="Arial" w:cs="Arial"/>
          <w:sz w:val="20"/>
        </w:rPr>
        <w:t>,</w:t>
      </w:r>
      <w:r w:rsidR="00E36AC6">
        <w:rPr>
          <w:rFonts w:ascii="Arial" w:hAnsi="Arial" w:cs="Arial"/>
          <w:sz w:val="20"/>
        </w:rPr>
        <w:t>85</w:t>
      </w:r>
      <w:r w:rsidR="009B3DFC" w:rsidRPr="00F10C29">
        <w:rPr>
          <w:rFonts w:ascii="Arial" w:hAnsi="Arial" w:cs="Arial"/>
          <w:sz w:val="20"/>
        </w:rPr>
        <w:t xml:space="preserve"> % od ukupno planiranih prihoda</w:t>
      </w:r>
      <w:r w:rsidR="006241AC" w:rsidRPr="00F10C29">
        <w:rPr>
          <w:rFonts w:ascii="Arial" w:hAnsi="Arial" w:cs="Arial"/>
          <w:sz w:val="20"/>
        </w:rPr>
        <w:t>,</w:t>
      </w:r>
      <w:r w:rsidR="001E530F" w:rsidRPr="00F10C29">
        <w:rPr>
          <w:rFonts w:ascii="Arial" w:hAnsi="Arial" w:cs="Arial"/>
          <w:sz w:val="20"/>
        </w:rPr>
        <w:t xml:space="preserve"> a </w:t>
      </w:r>
      <w:r w:rsidR="00E36AC6">
        <w:rPr>
          <w:rFonts w:ascii="Arial" w:hAnsi="Arial" w:cs="Arial"/>
          <w:sz w:val="20"/>
        </w:rPr>
        <w:t>114,89</w:t>
      </w:r>
      <w:r w:rsidR="001E530F" w:rsidRPr="00F10C29">
        <w:rPr>
          <w:rFonts w:ascii="Arial" w:hAnsi="Arial" w:cs="Arial"/>
          <w:sz w:val="20"/>
        </w:rPr>
        <w:t xml:space="preserve"> % u odnosu na</w:t>
      </w:r>
      <w:r w:rsidR="005C1D78" w:rsidRPr="00F10C29">
        <w:rPr>
          <w:rFonts w:ascii="Arial" w:hAnsi="Arial" w:cs="Arial"/>
          <w:sz w:val="20"/>
        </w:rPr>
        <w:t xml:space="preserve"> izvršenje iz 202</w:t>
      </w:r>
      <w:r w:rsidR="00E36AC6">
        <w:rPr>
          <w:rFonts w:ascii="Arial" w:hAnsi="Arial" w:cs="Arial"/>
          <w:sz w:val="20"/>
        </w:rPr>
        <w:t>1</w:t>
      </w:r>
      <w:r w:rsidR="002B65E4" w:rsidRPr="00F10C29">
        <w:rPr>
          <w:rFonts w:ascii="Arial" w:hAnsi="Arial" w:cs="Arial"/>
          <w:sz w:val="20"/>
        </w:rPr>
        <w:t>. godine</w:t>
      </w:r>
      <w:r w:rsidR="001E530F" w:rsidRPr="00F10C29">
        <w:rPr>
          <w:rFonts w:ascii="Arial" w:hAnsi="Arial" w:cs="Arial"/>
          <w:sz w:val="20"/>
        </w:rPr>
        <w:t xml:space="preserve">. Ukupni prihod </w:t>
      </w:r>
      <w:r w:rsidR="006241AC" w:rsidRPr="00F10C29">
        <w:rPr>
          <w:rFonts w:ascii="Arial" w:hAnsi="Arial" w:cs="Arial"/>
          <w:sz w:val="20"/>
        </w:rPr>
        <w:t>sastoj</w:t>
      </w:r>
      <w:r w:rsidR="001E530F" w:rsidRPr="00F10C29">
        <w:rPr>
          <w:rFonts w:ascii="Arial" w:hAnsi="Arial" w:cs="Arial"/>
          <w:sz w:val="20"/>
        </w:rPr>
        <w:t>i se</w:t>
      </w:r>
      <w:r w:rsidR="006241AC" w:rsidRPr="00F10C29">
        <w:rPr>
          <w:rFonts w:ascii="Arial" w:hAnsi="Arial" w:cs="Arial"/>
          <w:sz w:val="20"/>
        </w:rPr>
        <w:t xml:space="preserve"> od prihoda iz nadležnog proračuna, prihoda od pruženih usluga i donacija, prihoda po posebnim propisima, pomoći iz nenadležnog proračuna i tem</w:t>
      </w:r>
      <w:r w:rsidR="001E530F" w:rsidRPr="00F10C29">
        <w:rPr>
          <w:rFonts w:ascii="Arial" w:hAnsi="Arial" w:cs="Arial"/>
          <w:sz w:val="20"/>
        </w:rPr>
        <w:t>eljem prijenosa EU sredstava,</w:t>
      </w:r>
      <w:r w:rsidR="006241AC" w:rsidRPr="00F10C29">
        <w:rPr>
          <w:rFonts w:ascii="Arial" w:hAnsi="Arial" w:cs="Arial"/>
          <w:sz w:val="20"/>
        </w:rPr>
        <w:t xml:space="preserve"> prihoda od prodaje stana</w:t>
      </w:r>
      <w:r w:rsidR="00D1428D">
        <w:rPr>
          <w:rFonts w:ascii="Arial" w:hAnsi="Arial" w:cs="Arial"/>
          <w:sz w:val="20"/>
        </w:rPr>
        <w:t xml:space="preserve"> </w:t>
      </w:r>
      <w:r w:rsidR="001E530F" w:rsidRPr="00F10C29">
        <w:rPr>
          <w:rFonts w:ascii="Arial" w:hAnsi="Arial" w:cs="Arial"/>
          <w:sz w:val="20"/>
        </w:rPr>
        <w:t>te prihoda od imovine</w:t>
      </w:r>
      <w:r w:rsidR="006241AC" w:rsidRPr="00F10C29">
        <w:rPr>
          <w:rFonts w:ascii="Arial" w:hAnsi="Arial" w:cs="Arial"/>
          <w:sz w:val="20"/>
        </w:rPr>
        <w:t>.</w:t>
      </w:r>
    </w:p>
    <w:p w14:paraId="64894610" w14:textId="77777777" w:rsidR="00992069" w:rsidRPr="00F10C29" w:rsidRDefault="00992069" w:rsidP="005C586C">
      <w:pPr>
        <w:jc w:val="both"/>
        <w:rPr>
          <w:rFonts w:ascii="Arial" w:hAnsi="Arial" w:cs="Arial"/>
          <w:sz w:val="20"/>
        </w:rPr>
      </w:pPr>
    </w:p>
    <w:p w14:paraId="0151B872" w14:textId="3C36E546" w:rsidR="006241AC" w:rsidRPr="00F10C29" w:rsidRDefault="006241A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iz nadležnog proračuna (račun 67) ostvareni su u visini </w:t>
      </w:r>
      <w:r w:rsidR="00075D00">
        <w:rPr>
          <w:rFonts w:ascii="Arial" w:hAnsi="Arial" w:cs="Arial"/>
          <w:sz w:val="20"/>
        </w:rPr>
        <w:t>1.120.008,61</w:t>
      </w:r>
      <w:r w:rsidRPr="00F10C29">
        <w:rPr>
          <w:rFonts w:ascii="Arial" w:hAnsi="Arial" w:cs="Arial"/>
          <w:sz w:val="20"/>
        </w:rPr>
        <w:t xml:space="preserve"> kuna što je </w:t>
      </w:r>
      <w:r w:rsidR="00075D00">
        <w:rPr>
          <w:rFonts w:ascii="Arial" w:hAnsi="Arial" w:cs="Arial"/>
          <w:sz w:val="20"/>
        </w:rPr>
        <w:t>85,65</w:t>
      </w:r>
      <w:r w:rsidR="004527AB">
        <w:rPr>
          <w:rFonts w:ascii="Arial" w:hAnsi="Arial" w:cs="Arial"/>
          <w:sz w:val="20"/>
        </w:rPr>
        <w:t>%</w:t>
      </w:r>
      <w:r w:rsidRPr="00F10C29">
        <w:rPr>
          <w:rFonts w:ascii="Arial" w:hAnsi="Arial" w:cs="Arial"/>
          <w:sz w:val="20"/>
        </w:rPr>
        <w:t xml:space="preserve"> od plana</w:t>
      </w:r>
      <w:r w:rsidR="00D9659C" w:rsidRPr="00F10C29">
        <w:rPr>
          <w:rFonts w:ascii="Arial" w:hAnsi="Arial" w:cs="Arial"/>
          <w:sz w:val="20"/>
        </w:rPr>
        <w:t>,</w:t>
      </w:r>
      <w:r w:rsidR="00B31FB0">
        <w:rPr>
          <w:rFonts w:ascii="Arial" w:hAnsi="Arial" w:cs="Arial"/>
          <w:sz w:val="20"/>
        </w:rPr>
        <w:t xml:space="preserve"> </w:t>
      </w:r>
      <w:r w:rsidR="00D9659C" w:rsidRPr="00F10C29">
        <w:rPr>
          <w:rFonts w:ascii="Arial" w:hAnsi="Arial" w:cs="Arial"/>
          <w:sz w:val="20"/>
        </w:rPr>
        <w:t xml:space="preserve">a </w:t>
      </w:r>
      <w:r w:rsidR="005C1D78" w:rsidRPr="00F10C29">
        <w:rPr>
          <w:rFonts w:ascii="Arial" w:hAnsi="Arial" w:cs="Arial"/>
          <w:sz w:val="20"/>
        </w:rPr>
        <w:t>16</w:t>
      </w:r>
      <w:r w:rsidR="00075D00">
        <w:rPr>
          <w:rFonts w:ascii="Arial" w:hAnsi="Arial" w:cs="Arial"/>
          <w:sz w:val="20"/>
        </w:rPr>
        <w:t>4</w:t>
      </w:r>
      <w:r w:rsidR="005C1D78" w:rsidRPr="00F10C29">
        <w:rPr>
          <w:rFonts w:ascii="Arial" w:hAnsi="Arial" w:cs="Arial"/>
          <w:sz w:val="20"/>
        </w:rPr>
        <w:t>,</w:t>
      </w:r>
      <w:r w:rsidR="00075D00">
        <w:rPr>
          <w:rFonts w:ascii="Arial" w:hAnsi="Arial" w:cs="Arial"/>
          <w:sz w:val="20"/>
        </w:rPr>
        <w:t>37</w:t>
      </w:r>
      <w:r w:rsidR="00D9659C" w:rsidRPr="00F10C29">
        <w:rPr>
          <w:rFonts w:ascii="Arial" w:hAnsi="Arial" w:cs="Arial"/>
          <w:sz w:val="20"/>
        </w:rPr>
        <w:t xml:space="preserve"> % u odnosu na izvršenje iz 20</w:t>
      </w:r>
      <w:r w:rsidR="005C1D78" w:rsidRPr="00F10C29">
        <w:rPr>
          <w:rFonts w:ascii="Arial" w:hAnsi="Arial" w:cs="Arial"/>
          <w:sz w:val="20"/>
        </w:rPr>
        <w:t>2</w:t>
      </w:r>
      <w:r w:rsidR="00075D00">
        <w:rPr>
          <w:rFonts w:ascii="Arial" w:hAnsi="Arial" w:cs="Arial"/>
          <w:sz w:val="20"/>
        </w:rPr>
        <w:t>1</w:t>
      </w:r>
      <w:r w:rsidR="00D9659C" w:rsidRPr="00F10C29">
        <w:rPr>
          <w:rFonts w:ascii="Arial" w:hAnsi="Arial" w:cs="Arial"/>
          <w:sz w:val="20"/>
        </w:rPr>
        <w:t xml:space="preserve">. godine. </w:t>
      </w:r>
      <w:r w:rsidRPr="00F10C29">
        <w:rPr>
          <w:rFonts w:ascii="Arial" w:hAnsi="Arial" w:cs="Arial"/>
          <w:sz w:val="20"/>
        </w:rPr>
        <w:t>Navedeni prihodi uključ</w:t>
      </w:r>
      <w:r w:rsidR="004527AB">
        <w:rPr>
          <w:rFonts w:ascii="Arial" w:hAnsi="Arial" w:cs="Arial"/>
          <w:sz w:val="20"/>
        </w:rPr>
        <w:t xml:space="preserve">uju mjesečnu dotaciju osnivača </w:t>
      </w:r>
      <w:r w:rsidRPr="00F10C29">
        <w:rPr>
          <w:rFonts w:ascii="Arial" w:hAnsi="Arial" w:cs="Arial"/>
          <w:sz w:val="20"/>
        </w:rPr>
        <w:t xml:space="preserve">Istarske županije za pokriće </w:t>
      </w:r>
      <w:r w:rsidR="005C1D78" w:rsidRPr="00F10C29">
        <w:rPr>
          <w:rFonts w:ascii="Arial" w:hAnsi="Arial" w:cs="Arial"/>
          <w:sz w:val="20"/>
        </w:rPr>
        <w:t>materijalnih ra</w:t>
      </w:r>
      <w:r w:rsidR="004527AB">
        <w:rPr>
          <w:rFonts w:ascii="Arial" w:hAnsi="Arial" w:cs="Arial"/>
          <w:sz w:val="20"/>
        </w:rPr>
        <w:t>shoda koja je uvećana za 202</w:t>
      </w:r>
      <w:r w:rsidR="00075D00">
        <w:rPr>
          <w:rFonts w:ascii="Arial" w:hAnsi="Arial" w:cs="Arial"/>
          <w:sz w:val="20"/>
        </w:rPr>
        <w:t>2</w:t>
      </w:r>
      <w:r w:rsidR="004527AB">
        <w:rPr>
          <w:rFonts w:ascii="Arial" w:hAnsi="Arial" w:cs="Arial"/>
          <w:sz w:val="20"/>
        </w:rPr>
        <w:t>.godinu</w:t>
      </w:r>
      <w:r w:rsidR="005C1D78" w:rsidRPr="00F10C29">
        <w:rPr>
          <w:rFonts w:ascii="Arial" w:hAnsi="Arial" w:cs="Arial"/>
          <w:sz w:val="20"/>
        </w:rPr>
        <w:t>,</w:t>
      </w:r>
      <w:r w:rsidRPr="00F10C29">
        <w:rPr>
          <w:rFonts w:ascii="Arial" w:hAnsi="Arial" w:cs="Arial"/>
          <w:sz w:val="20"/>
        </w:rPr>
        <w:t xml:space="preserve"> materijalne rashode koji se isplaćuju temeljem stvarnog troška</w:t>
      </w:r>
      <w:r w:rsidR="00B31FB0">
        <w:rPr>
          <w:rFonts w:ascii="Arial" w:hAnsi="Arial" w:cs="Arial"/>
          <w:sz w:val="20"/>
        </w:rPr>
        <w:t xml:space="preserve">, </w:t>
      </w:r>
      <w:r w:rsidR="005C1D78" w:rsidRPr="00F10C29">
        <w:rPr>
          <w:rFonts w:ascii="Arial" w:hAnsi="Arial" w:cs="Arial"/>
          <w:sz w:val="20"/>
        </w:rPr>
        <w:t>sredstva za investicijsko održavanje škole</w:t>
      </w:r>
      <w:r w:rsidR="00075D00">
        <w:rPr>
          <w:rFonts w:ascii="Arial" w:hAnsi="Arial" w:cs="Arial"/>
          <w:sz w:val="20"/>
        </w:rPr>
        <w:t xml:space="preserve"> (sanaciju dijela podova potkrovlja zgrade škole)</w:t>
      </w:r>
      <w:r w:rsidR="00B31FB0">
        <w:rPr>
          <w:rFonts w:ascii="Arial" w:hAnsi="Arial" w:cs="Arial"/>
          <w:sz w:val="20"/>
        </w:rPr>
        <w:t xml:space="preserve">, kapitalna ulaganja (sufinanciranje izrade glavnog projekta ugradnje </w:t>
      </w:r>
      <w:proofErr w:type="spellStart"/>
      <w:r w:rsidR="00B31FB0">
        <w:rPr>
          <w:rFonts w:ascii="Arial" w:hAnsi="Arial" w:cs="Arial"/>
          <w:sz w:val="20"/>
        </w:rPr>
        <w:t>fotonaponskih</w:t>
      </w:r>
      <w:proofErr w:type="spellEnd"/>
      <w:r w:rsidR="00B31FB0">
        <w:rPr>
          <w:rFonts w:ascii="Arial" w:hAnsi="Arial" w:cs="Arial"/>
          <w:sz w:val="20"/>
        </w:rPr>
        <w:t xml:space="preserve"> panela na krovu škole) te nabavu knjiga za lektiru</w:t>
      </w:r>
      <w:r w:rsidR="00075D00" w:rsidRPr="00F10C29">
        <w:rPr>
          <w:rFonts w:ascii="Arial" w:hAnsi="Arial" w:cs="Arial"/>
          <w:sz w:val="20"/>
        </w:rPr>
        <w:t>.</w:t>
      </w:r>
    </w:p>
    <w:p w14:paraId="371D9EB8" w14:textId="06235332" w:rsidR="00D9659C" w:rsidRPr="00F10C29" w:rsidRDefault="00CE2247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od imovine (račun 64) </w:t>
      </w:r>
      <w:r w:rsidR="00075D00">
        <w:rPr>
          <w:rFonts w:ascii="Arial" w:hAnsi="Arial" w:cs="Arial"/>
          <w:sz w:val="20"/>
        </w:rPr>
        <w:t xml:space="preserve">su zanemarivi i </w:t>
      </w:r>
      <w:r w:rsidRPr="00F10C29">
        <w:rPr>
          <w:rFonts w:ascii="Arial" w:hAnsi="Arial" w:cs="Arial"/>
          <w:sz w:val="20"/>
        </w:rPr>
        <w:t xml:space="preserve">iznosili su </w:t>
      </w:r>
      <w:r w:rsidR="00075D00">
        <w:rPr>
          <w:rFonts w:ascii="Arial" w:hAnsi="Arial" w:cs="Arial"/>
          <w:sz w:val="20"/>
        </w:rPr>
        <w:t>1,40</w:t>
      </w:r>
      <w:r w:rsidRPr="00F10C29">
        <w:rPr>
          <w:rFonts w:ascii="Arial" w:hAnsi="Arial" w:cs="Arial"/>
          <w:sz w:val="20"/>
        </w:rPr>
        <w:t xml:space="preserve"> kuna, </w:t>
      </w:r>
      <w:r w:rsidR="004527AB">
        <w:rPr>
          <w:rFonts w:ascii="Arial" w:hAnsi="Arial" w:cs="Arial"/>
          <w:sz w:val="20"/>
        </w:rPr>
        <w:t xml:space="preserve">a </w:t>
      </w:r>
      <w:r w:rsidRPr="00F10C29">
        <w:rPr>
          <w:rFonts w:ascii="Arial" w:hAnsi="Arial" w:cs="Arial"/>
          <w:sz w:val="20"/>
        </w:rPr>
        <w:t>radi se isplatama kamata banke</w:t>
      </w:r>
      <w:r w:rsidR="00B234D3">
        <w:rPr>
          <w:rFonts w:ascii="Arial" w:hAnsi="Arial" w:cs="Arial"/>
          <w:sz w:val="20"/>
        </w:rPr>
        <w:t xml:space="preserve"> u prvom kvartalu</w:t>
      </w:r>
      <w:r w:rsidRPr="00F10C29">
        <w:rPr>
          <w:rFonts w:ascii="Arial" w:hAnsi="Arial" w:cs="Arial"/>
          <w:sz w:val="20"/>
        </w:rPr>
        <w:t xml:space="preserve"> na sredstva koja se nalaze na žiro računu</w:t>
      </w:r>
      <w:r w:rsidR="00B234D3">
        <w:rPr>
          <w:rFonts w:ascii="Arial" w:hAnsi="Arial" w:cs="Arial"/>
          <w:sz w:val="20"/>
        </w:rPr>
        <w:t>, a koje je banka potom ukinula</w:t>
      </w:r>
      <w:r w:rsidRPr="00F10C29">
        <w:rPr>
          <w:rFonts w:ascii="Arial" w:hAnsi="Arial" w:cs="Arial"/>
          <w:sz w:val="20"/>
        </w:rPr>
        <w:t>.</w:t>
      </w:r>
    </w:p>
    <w:p w14:paraId="065EC041" w14:textId="523955FA" w:rsidR="006241AC" w:rsidRPr="00F10C29" w:rsidRDefault="006241A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od pruženih usluga i donacija </w:t>
      </w:r>
      <w:r w:rsidR="00992069" w:rsidRPr="00F10C29">
        <w:rPr>
          <w:rFonts w:ascii="Arial" w:hAnsi="Arial" w:cs="Arial"/>
          <w:sz w:val="20"/>
        </w:rPr>
        <w:t xml:space="preserve">(račun 66) </w:t>
      </w:r>
      <w:r w:rsidRPr="00F10C29">
        <w:rPr>
          <w:rFonts w:ascii="Arial" w:hAnsi="Arial" w:cs="Arial"/>
          <w:sz w:val="20"/>
        </w:rPr>
        <w:t xml:space="preserve">ostvareni su u visini </w:t>
      </w:r>
      <w:r w:rsidR="00075D00">
        <w:rPr>
          <w:rFonts w:ascii="Arial" w:hAnsi="Arial" w:cs="Arial"/>
          <w:sz w:val="20"/>
        </w:rPr>
        <w:t>779.774,29</w:t>
      </w:r>
      <w:r w:rsidR="00CA25F4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 xml:space="preserve">kuna što je </w:t>
      </w:r>
      <w:r w:rsidR="00075D00">
        <w:rPr>
          <w:rFonts w:ascii="Arial" w:hAnsi="Arial" w:cs="Arial"/>
          <w:sz w:val="20"/>
        </w:rPr>
        <w:t>97,90</w:t>
      </w:r>
      <w:r w:rsidRPr="00F10C29">
        <w:rPr>
          <w:rFonts w:ascii="Arial" w:hAnsi="Arial" w:cs="Arial"/>
          <w:sz w:val="20"/>
        </w:rPr>
        <w:t>% u odnosu na plan</w:t>
      </w:r>
      <w:r w:rsidR="00D9659C" w:rsidRPr="00F10C29">
        <w:rPr>
          <w:rFonts w:ascii="Arial" w:hAnsi="Arial" w:cs="Arial"/>
          <w:sz w:val="20"/>
        </w:rPr>
        <w:t xml:space="preserve">, a </w:t>
      </w:r>
      <w:r w:rsidR="00075D00">
        <w:rPr>
          <w:rFonts w:ascii="Arial" w:hAnsi="Arial" w:cs="Arial"/>
          <w:sz w:val="20"/>
        </w:rPr>
        <w:t>105,77</w:t>
      </w:r>
      <w:r w:rsidR="00D9659C" w:rsidRPr="00F10C29">
        <w:rPr>
          <w:rFonts w:ascii="Arial" w:hAnsi="Arial" w:cs="Arial"/>
          <w:sz w:val="20"/>
        </w:rPr>
        <w:t xml:space="preserve"> % u odnosu na izvršenje iz 20</w:t>
      </w:r>
      <w:r w:rsidR="005C1D78" w:rsidRPr="00F10C29">
        <w:rPr>
          <w:rFonts w:ascii="Arial" w:hAnsi="Arial" w:cs="Arial"/>
          <w:sz w:val="20"/>
        </w:rPr>
        <w:t>2</w:t>
      </w:r>
      <w:r w:rsidR="00075D00">
        <w:rPr>
          <w:rFonts w:ascii="Arial" w:hAnsi="Arial" w:cs="Arial"/>
          <w:sz w:val="20"/>
        </w:rPr>
        <w:t>1</w:t>
      </w:r>
      <w:r w:rsidR="00D9659C" w:rsidRPr="00F10C29">
        <w:rPr>
          <w:rFonts w:ascii="Arial" w:hAnsi="Arial" w:cs="Arial"/>
          <w:sz w:val="20"/>
        </w:rPr>
        <w:t>. godine</w:t>
      </w:r>
      <w:r w:rsidRPr="00F10C29">
        <w:rPr>
          <w:rFonts w:ascii="Arial" w:hAnsi="Arial" w:cs="Arial"/>
          <w:sz w:val="20"/>
        </w:rPr>
        <w:t xml:space="preserve">. Radi se o prihodima koji se ostvaruju obavljanjem djelatnosti </w:t>
      </w:r>
      <w:r w:rsidR="004527AB">
        <w:rPr>
          <w:rFonts w:ascii="Arial" w:hAnsi="Arial" w:cs="Arial"/>
          <w:sz w:val="20"/>
        </w:rPr>
        <w:t>obrazovanja odraslih, autoškole</w:t>
      </w:r>
      <w:r w:rsidRPr="00F10C29">
        <w:rPr>
          <w:rFonts w:ascii="Arial" w:hAnsi="Arial" w:cs="Arial"/>
          <w:sz w:val="20"/>
        </w:rPr>
        <w:t xml:space="preserve"> te </w:t>
      </w:r>
      <w:r w:rsidR="00B234D3">
        <w:rPr>
          <w:rFonts w:ascii="Arial" w:hAnsi="Arial" w:cs="Arial"/>
          <w:sz w:val="20"/>
        </w:rPr>
        <w:t xml:space="preserve">naknade </w:t>
      </w:r>
      <w:r w:rsidRPr="00F10C29">
        <w:rPr>
          <w:rFonts w:ascii="Arial" w:hAnsi="Arial" w:cs="Arial"/>
          <w:sz w:val="20"/>
        </w:rPr>
        <w:t>kod posredovanja pri zapošljavanju učenika</w:t>
      </w:r>
      <w:r w:rsidR="00992069" w:rsidRPr="00F10C29">
        <w:rPr>
          <w:rFonts w:ascii="Arial" w:hAnsi="Arial" w:cs="Arial"/>
          <w:sz w:val="20"/>
        </w:rPr>
        <w:t>.</w:t>
      </w:r>
    </w:p>
    <w:p w14:paraId="7C024085" w14:textId="1DEBE824" w:rsidR="00992069" w:rsidRPr="00F10C29" w:rsidRDefault="00992069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 xml:space="preserve">Prihodi po posebnim propisima (račun 65) ostvareni su u visini </w:t>
      </w:r>
      <w:r w:rsidR="00075D00">
        <w:rPr>
          <w:rFonts w:ascii="Arial" w:hAnsi="Arial" w:cs="Arial"/>
          <w:sz w:val="20"/>
        </w:rPr>
        <w:t>45.953,80 kuna</w:t>
      </w:r>
      <w:r w:rsidRPr="00F10C29">
        <w:rPr>
          <w:rFonts w:ascii="Arial" w:hAnsi="Arial" w:cs="Arial"/>
          <w:sz w:val="20"/>
        </w:rPr>
        <w:t xml:space="preserve"> što je </w:t>
      </w:r>
      <w:r w:rsidR="00075D00">
        <w:rPr>
          <w:rFonts w:ascii="Arial" w:hAnsi="Arial" w:cs="Arial"/>
          <w:sz w:val="20"/>
        </w:rPr>
        <w:t>105,50</w:t>
      </w:r>
      <w:r w:rsidRPr="00F10C29">
        <w:rPr>
          <w:rFonts w:ascii="Arial" w:hAnsi="Arial" w:cs="Arial"/>
          <w:sz w:val="20"/>
        </w:rPr>
        <w:t>% u odnosu na plan</w:t>
      </w:r>
      <w:r w:rsidR="00AA5730" w:rsidRPr="00F10C29">
        <w:rPr>
          <w:rFonts w:ascii="Arial" w:hAnsi="Arial" w:cs="Arial"/>
          <w:sz w:val="20"/>
        </w:rPr>
        <w:t xml:space="preserve">, a </w:t>
      </w:r>
      <w:r w:rsidR="00075D00">
        <w:rPr>
          <w:rFonts w:ascii="Arial" w:hAnsi="Arial" w:cs="Arial"/>
          <w:sz w:val="20"/>
        </w:rPr>
        <w:t>241,07</w:t>
      </w:r>
      <w:r w:rsidR="005C1D78" w:rsidRPr="00F10C29">
        <w:rPr>
          <w:rFonts w:ascii="Arial" w:hAnsi="Arial" w:cs="Arial"/>
          <w:sz w:val="20"/>
        </w:rPr>
        <w:t xml:space="preserve"> % u odnosu na izvršenje iz 202</w:t>
      </w:r>
      <w:r w:rsidR="00075D00">
        <w:rPr>
          <w:rFonts w:ascii="Arial" w:hAnsi="Arial" w:cs="Arial"/>
          <w:sz w:val="20"/>
        </w:rPr>
        <w:t>1</w:t>
      </w:r>
      <w:r w:rsidR="00AA5730" w:rsidRPr="00F10C29">
        <w:rPr>
          <w:rFonts w:ascii="Arial" w:hAnsi="Arial" w:cs="Arial"/>
          <w:sz w:val="20"/>
        </w:rPr>
        <w:t>. godine</w:t>
      </w:r>
      <w:r w:rsidRPr="00F10C29">
        <w:rPr>
          <w:rFonts w:ascii="Arial" w:hAnsi="Arial" w:cs="Arial"/>
          <w:sz w:val="20"/>
        </w:rPr>
        <w:t xml:space="preserve">. Radi se o sredstvima koje učenici uplaćuju za sufinanciranje </w:t>
      </w:r>
      <w:proofErr w:type="spellStart"/>
      <w:r w:rsidRPr="00F10C29">
        <w:rPr>
          <w:rFonts w:ascii="Arial" w:hAnsi="Arial" w:cs="Arial"/>
          <w:sz w:val="20"/>
        </w:rPr>
        <w:t>vanučioničke</w:t>
      </w:r>
      <w:proofErr w:type="spellEnd"/>
      <w:r w:rsidRPr="00F10C29">
        <w:rPr>
          <w:rFonts w:ascii="Arial" w:hAnsi="Arial" w:cs="Arial"/>
          <w:sz w:val="20"/>
        </w:rPr>
        <w:t xml:space="preserve"> nastave, odlaske na smotre, izložbe, izlete i slično.</w:t>
      </w:r>
    </w:p>
    <w:p w14:paraId="7D723662" w14:textId="7C652B19" w:rsidR="00992069" w:rsidRPr="00F10C29" w:rsidRDefault="004527AB" w:rsidP="005C586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Pomoći od nenadležnog proračuna</w:t>
      </w:r>
      <w:r w:rsidR="00992069" w:rsidRPr="00F10C29">
        <w:rPr>
          <w:rFonts w:ascii="Arial" w:hAnsi="Arial" w:cs="Arial"/>
          <w:sz w:val="20"/>
        </w:rPr>
        <w:t xml:space="preserve"> te temeljem prijenosa EU sredstava (račun 63) ostvaren</w:t>
      </w:r>
      <w:r w:rsidR="000E3BB9" w:rsidRPr="00F10C29">
        <w:rPr>
          <w:rFonts w:ascii="Arial" w:hAnsi="Arial" w:cs="Arial"/>
          <w:sz w:val="20"/>
        </w:rPr>
        <w:t>i</w:t>
      </w:r>
      <w:r w:rsidR="00CA25F4">
        <w:rPr>
          <w:rFonts w:ascii="Arial" w:hAnsi="Arial" w:cs="Arial"/>
          <w:sz w:val="20"/>
        </w:rPr>
        <w:t xml:space="preserve"> </w:t>
      </w:r>
      <w:r w:rsidR="000E3BB9" w:rsidRPr="00F10C29">
        <w:rPr>
          <w:rFonts w:ascii="Arial" w:hAnsi="Arial" w:cs="Arial"/>
          <w:sz w:val="20"/>
        </w:rPr>
        <w:t>su</w:t>
      </w:r>
      <w:r w:rsidR="00992069" w:rsidRPr="00F10C29">
        <w:rPr>
          <w:rFonts w:ascii="Arial" w:hAnsi="Arial" w:cs="Arial"/>
          <w:sz w:val="20"/>
        </w:rPr>
        <w:t xml:space="preserve"> u visini </w:t>
      </w:r>
      <w:r w:rsidR="007231FC" w:rsidRPr="00F10C29">
        <w:rPr>
          <w:rFonts w:ascii="Arial" w:hAnsi="Arial" w:cs="Arial"/>
          <w:sz w:val="20"/>
        </w:rPr>
        <w:t>4</w:t>
      </w:r>
      <w:r w:rsidR="00075D00">
        <w:rPr>
          <w:rFonts w:ascii="Arial" w:hAnsi="Arial" w:cs="Arial"/>
          <w:sz w:val="20"/>
        </w:rPr>
        <w:t>.848.141,05</w:t>
      </w:r>
      <w:r w:rsidR="00992069" w:rsidRPr="00F10C29">
        <w:rPr>
          <w:rFonts w:ascii="Arial" w:hAnsi="Arial" w:cs="Arial"/>
          <w:sz w:val="20"/>
        </w:rPr>
        <w:t xml:space="preserve"> kuna što predstavlja </w:t>
      </w:r>
      <w:r w:rsidR="00AA5730" w:rsidRPr="00F10C29">
        <w:rPr>
          <w:rFonts w:ascii="Arial" w:hAnsi="Arial" w:cs="Arial"/>
          <w:sz w:val="20"/>
        </w:rPr>
        <w:t xml:space="preserve"> 9</w:t>
      </w:r>
      <w:r w:rsidR="00075D00">
        <w:rPr>
          <w:rFonts w:ascii="Arial" w:hAnsi="Arial" w:cs="Arial"/>
          <w:sz w:val="20"/>
        </w:rPr>
        <w:t>8</w:t>
      </w:r>
      <w:r w:rsidR="00AA5730" w:rsidRPr="00F10C29">
        <w:rPr>
          <w:rFonts w:ascii="Arial" w:hAnsi="Arial" w:cs="Arial"/>
          <w:sz w:val="20"/>
        </w:rPr>
        <w:t>,</w:t>
      </w:r>
      <w:r w:rsidR="00075D00">
        <w:rPr>
          <w:rFonts w:ascii="Arial" w:hAnsi="Arial" w:cs="Arial"/>
          <w:sz w:val="20"/>
        </w:rPr>
        <w:t>13</w:t>
      </w:r>
      <w:r w:rsidR="00992069" w:rsidRPr="00F10C29">
        <w:rPr>
          <w:rFonts w:ascii="Arial" w:hAnsi="Arial" w:cs="Arial"/>
          <w:sz w:val="20"/>
        </w:rPr>
        <w:t>% u odnosu na plan</w:t>
      </w:r>
      <w:r w:rsidR="00CE2247" w:rsidRPr="00F10C29">
        <w:rPr>
          <w:rFonts w:ascii="Arial" w:hAnsi="Arial" w:cs="Arial"/>
          <w:sz w:val="20"/>
        </w:rPr>
        <w:t xml:space="preserve">, a </w:t>
      </w:r>
      <w:r w:rsidR="00075D00">
        <w:rPr>
          <w:rFonts w:ascii="Arial" w:hAnsi="Arial" w:cs="Arial"/>
          <w:sz w:val="20"/>
        </w:rPr>
        <w:t>108,32</w:t>
      </w:r>
      <w:r w:rsidR="007231FC" w:rsidRPr="00F10C29">
        <w:rPr>
          <w:rFonts w:ascii="Arial" w:hAnsi="Arial" w:cs="Arial"/>
          <w:sz w:val="20"/>
        </w:rPr>
        <w:t xml:space="preserve"> % u odnosu na izvršenje iz 202</w:t>
      </w:r>
      <w:r w:rsidR="00075D00">
        <w:rPr>
          <w:rFonts w:ascii="Arial" w:hAnsi="Arial" w:cs="Arial"/>
          <w:sz w:val="20"/>
        </w:rPr>
        <w:t>1</w:t>
      </w:r>
      <w:r w:rsidR="00CE2247" w:rsidRPr="00F10C29">
        <w:rPr>
          <w:rFonts w:ascii="Arial" w:hAnsi="Arial" w:cs="Arial"/>
          <w:sz w:val="20"/>
        </w:rPr>
        <w:t>. godine</w:t>
      </w:r>
      <w:r w:rsidR="00992069" w:rsidRPr="00F10C29">
        <w:rPr>
          <w:rFonts w:ascii="Arial" w:hAnsi="Arial" w:cs="Arial"/>
          <w:sz w:val="20"/>
        </w:rPr>
        <w:t>. Radi se o sredstvima državnog proračuna koja se osigu</w:t>
      </w:r>
      <w:r>
        <w:rPr>
          <w:rFonts w:ascii="Arial" w:hAnsi="Arial" w:cs="Arial"/>
          <w:sz w:val="20"/>
        </w:rPr>
        <w:t>ravaju za isplatu plaća radnika</w:t>
      </w:r>
      <w:r w:rsidR="00992069" w:rsidRPr="00F10C29">
        <w:rPr>
          <w:rFonts w:ascii="Arial" w:hAnsi="Arial" w:cs="Arial"/>
          <w:sz w:val="20"/>
        </w:rPr>
        <w:t xml:space="preserve"> te sredstvima EU fondova za financiranje </w:t>
      </w:r>
      <w:proofErr w:type="spellStart"/>
      <w:r w:rsidR="00992069" w:rsidRPr="00F10C29">
        <w:rPr>
          <w:rFonts w:ascii="Arial" w:hAnsi="Arial" w:cs="Arial"/>
          <w:sz w:val="20"/>
        </w:rPr>
        <w:t>Erasmus</w:t>
      </w:r>
      <w:proofErr w:type="spellEnd"/>
      <w:r w:rsidR="00992069" w:rsidRPr="00F10C29">
        <w:rPr>
          <w:rFonts w:ascii="Arial" w:hAnsi="Arial" w:cs="Arial"/>
          <w:sz w:val="20"/>
        </w:rPr>
        <w:t>+ projekata</w:t>
      </w:r>
      <w:r w:rsidR="00B234D3">
        <w:rPr>
          <w:rFonts w:ascii="Arial" w:hAnsi="Arial" w:cs="Arial"/>
          <w:sz w:val="20"/>
        </w:rPr>
        <w:t xml:space="preserve"> (isplata zadnje rate „My future </w:t>
      </w:r>
      <w:proofErr w:type="spellStart"/>
      <w:r w:rsidR="00B234D3">
        <w:rPr>
          <w:rFonts w:ascii="Arial" w:hAnsi="Arial" w:cs="Arial"/>
          <w:sz w:val="20"/>
        </w:rPr>
        <w:t>in</w:t>
      </w:r>
      <w:proofErr w:type="spellEnd"/>
      <w:r w:rsidR="00B234D3">
        <w:rPr>
          <w:rFonts w:ascii="Arial" w:hAnsi="Arial" w:cs="Arial"/>
          <w:sz w:val="20"/>
        </w:rPr>
        <w:t xml:space="preserve"> </w:t>
      </w:r>
      <w:proofErr w:type="spellStart"/>
      <w:r w:rsidR="00B234D3">
        <w:rPr>
          <w:rFonts w:ascii="Arial" w:hAnsi="Arial" w:cs="Arial"/>
          <w:sz w:val="20"/>
        </w:rPr>
        <w:t>my</w:t>
      </w:r>
      <w:proofErr w:type="spellEnd"/>
      <w:r w:rsidR="00B234D3">
        <w:rPr>
          <w:rFonts w:ascii="Arial" w:hAnsi="Arial" w:cs="Arial"/>
          <w:sz w:val="20"/>
        </w:rPr>
        <w:t xml:space="preserve"> </w:t>
      </w:r>
      <w:proofErr w:type="spellStart"/>
      <w:r w:rsidR="00B234D3">
        <w:rPr>
          <w:rFonts w:ascii="Arial" w:hAnsi="Arial" w:cs="Arial"/>
          <w:sz w:val="20"/>
        </w:rPr>
        <w:t>hands</w:t>
      </w:r>
      <w:proofErr w:type="spellEnd"/>
      <w:r w:rsidR="00B234D3">
        <w:rPr>
          <w:rFonts w:ascii="Arial" w:hAnsi="Arial" w:cs="Arial"/>
          <w:sz w:val="20"/>
        </w:rPr>
        <w:t>“ projekta)</w:t>
      </w:r>
      <w:r w:rsidR="00992069" w:rsidRPr="00F10C29">
        <w:rPr>
          <w:rFonts w:ascii="Arial" w:hAnsi="Arial" w:cs="Arial"/>
          <w:sz w:val="20"/>
        </w:rPr>
        <w:t>.</w:t>
      </w:r>
    </w:p>
    <w:p w14:paraId="219D4869" w14:textId="1E22CEBA" w:rsidR="00992069" w:rsidRPr="00F10C29" w:rsidRDefault="00992069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Prihodi od prodaje stana (račun 72) ostvaren</w:t>
      </w:r>
      <w:r w:rsidR="000E3BB9" w:rsidRPr="00F10C29">
        <w:rPr>
          <w:rFonts w:ascii="Arial" w:hAnsi="Arial" w:cs="Arial"/>
          <w:sz w:val="20"/>
        </w:rPr>
        <w:t>i su</w:t>
      </w:r>
      <w:r w:rsidRPr="00F10C29">
        <w:rPr>
          <w:rFonts w:ascii="Arial" w:hAnsi="Arial" w:cs="Arial"/>
          <w:sz w:val="20"/>
        </w:rPr>
        <w:t xml:space="preserve"> u visini </w:t>
      </w:r>
      <w:r w:rsidR="00075D00">
        <w:rPr>
          <w:rFonts w:ascii="Arial" w:hAnsi="Arial" w:cs="Arial"/>
          <w:sz w:val="20"/>
        </w:rPr>
        <w:t>767,95</w:t>
      </w:r>
      <w:r w:rsidRPr="00F10C29">
        <w:rPr>
          <w:rFonts w:ascii="Arial" w:hAnsi="Arial" w:cs="Arial"/>
          <w:sz w:val="20"/>
        </w:rPr>
        <w:t xml:space="preserve"> kuna što je </w:t>
      </w:r>
      <w:r w:rsidR="00075D00">
        <w:rPr>
          <w:rFonts w:ascii="Arial" w:hAnsi="Arial" w:cs="Arial"/>
          <w:sz w:val="20"/>
        </w:rPr>
        <w:t>109,71</w:t>
      </w:r>
      <w:r w:rsidRPr="00F10C29">
        <w:rPr>
          <w:rFonts w:ascii="Arial" w:hAnsi="Arial" w:cs="Arial"/>
          <w:sz w:val="20"/>
        </w:rPr>
        <w:t>% u odnosu na plan</w:t>
      </w:r>
      <w:r w:rsidR="00075D00">
        <w:rPr>
          <w:rFonts w:ascii="Arial" w:hAnsi="Arial" w:cs="Arial"/>
          <w:sz w:val="20"/>
        </w:rPr>
        <w:t>, a radi se o dovršetku otplate stana sa stanarskim pravom</w:t>
      </w:r>
      <w:r w:rsidRPr="00F10C29">
        <w:rPr>
          <w:rFonts w:ascii="Arial" w:hAnsi="Arial" w:cs="Arial"/>
          <w:sz w:val="20"/>
        </w:rPr>
        <w:t>.</w:t>
      </w:r>
    </w:p>
    <w:p w14:paraId="29EFB2E5" w14:textId="77777777" w:rsidR="00992069" w:rsidRPr="00F10C29" w:rsidRDefault="00992069" w:rsidP="005C586C">
      <w:pPr>
        <w:jc w:val="both"/>
        <w:rPr>
          <w:rFonts w:ascii="Arial" w:hAnsi="Arial" w:cs="Arial"/>
          <w:sz w:val="20"/>
        </w:rPr>
      </w:pPr>
    </w:p>
    <w:p w14:paraId="6BAED15B" w14:textId="20D05AFB" w:rsidR="007231FC" w:rsidRPr="00F10C29" w:rsidRDefault="0003008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Ukupni rashodi za 202</w:t>
      </w:r>
      <w:r w:rsidR="000055E4">
        <w:rPr>
          <w:rFonts w:ascii="Arial" w:hAnsi="Arial" w:cs="Arial"/>
          <w:sz w:val="20"/>
        </w:rPr>
        <w:t>2</w:t>
      </w:r>
      <w:r w:rsidR="00992069" w:rsidRPr="00F10C29">
        <w:rPr>
          <w:rFonts w:ascii="Arial" w:hAnsi="Arial" w:cs="Arial"/>
          <w:sz w:val="20"/>
        </w:rPr>
        <w:t>.</w:t>
      </w:r>
      <w:r w:rsidR="00D1428D">
        <w:rPr>
          <w:rFonts w:ascii="Arial" w:hAnsi="Arial" w:cs="Arial"/>
          <w:sz w:val="20"/>
        </w:rPr>
        <w:t xml:space="preserve"> </w:t>
      </w:r>
      <w:r w:rsidR="00992069" w:rsidRPr="00F10C29">
        <w:rPr>
          <w:rFonts w:ascii="Arial" w:hAnsi="Arial" w:cs="Arial"/>
          <w:sz w:val="20"/>
        </w:rPr>
        <w:t xml:space="preserve">godinu iznosili su </w:t>
      </w:r>
      <w:r w:rsidR="007231FC" w:rsidRPr="00F10C29">
        <w:rPr>
          <w:rFonts w:ascii="Arial" w:hAnsi="Arial" w:cs="Arial"/>
          <w:sz w:val="20"/>
        </w:rPr>
        <w:t>6.</w:t>
      </w:r>
      <w:r w:rsidR="000055E4">
        <w:rPr>
          <w:rFonts w:ascii="Arial" w:hAnsi="Arial" w:cs="Arial"/>
          <w:sz w:val="20"/>
        </w:rPr>
        <w:t>798.207,16</w:t>
      </w:r>
      <w:r w:rsidR="007231FC" w:rsidRPr="00F10C29">
        <w:rPr>
          <w:rFonts w:ascii="Arial" w:hAnsi="Arial" w:cs="Arial"/>
          <w:sz w:val="20"/>
        </w:rPr>
        <w:t xml:space="preserve"> </w:t>
      </w:r>
      <w:r w:rsidR="00992069" w:rsidRPr="00F10C29">
        <w:rPr>
          <w:rFonts w:ascii="Arial" w:hAnsi="Arial" w:cs="Arial"/>
          <w:sz w:val="20"/>
        </w:rPr>
        <w:t xml:space="preserve">kuna što je </w:t>
      </w:r>
      <w:r w:rsidR="000055E4">
        <w:rPr>
          <w:rFonts w:ascii="Arial" w:hAnsi="Arial" w:cs="Arial"/>
          <w:sz w:val="20"/>
        </w:rPr>
        <w:t>93,89</w:t>
      </w:r>
      <w:r w:rsidR="00E33A47" w:rsidRPr="00F10C29">
        <w:rPr>
          <w:rFonts w:ascii="Arial" w:hAnsi="Arial" w:cs="Arial"/>
          <w:sz w:val="20"/>
        </w:rPr>
        <w:t xml:space="preserve"> % od ukupno planiranih rashoda, a </w:t>
      </w:r>
      <w:r w:rsidR="000055E4">
        <w:rPr>
          <w:rFonts w:ascii="Arial" w:hAnsi="Arial" w:cs="Arial"/>
          <w:sz w:val="20"/>
        </w:rPr>
        <w:t>108,12</w:t>
      </w:r>
      <w:r w:rsidR="007231FC" w:rsidRPr="00F10C29">
        <w:rPr>
          <w:rFonts w:ascii="Arial" w:hAnsi="Arial" w:cs="Arial"/>
          <w:sz w:val="20"/>
        </w:rPr>
        <w:t>% u odnosu na izvršenje u 202</w:t>
      </w:r>
      <w:r w:rsidR="000055E4">
        <w:rPr>
          <w:rFonts w:ascii="Arial" w:hAnsi="Arial" w:cs="Arial"/>
          <w:sz w:val="20"/>
        </w:rPr>
        <w:t>1</w:t>
      </w:r>
      <w:r w:rsidR="00E33A47" w:rsidRPr="00F10C29">
        <w:rPr>
          <w:rFonts w:ascii="Arial" w:hAnsi="Arial" w:cs="Arial"/>
          <w:sz w:val="20"/>
        </w:rPr>
        <w:t>.</w:t>
      </w:r>
      <w:r w:rsidR="00D1428D">
        <w:rPr>
          <w:rFonts w:ascii="Arial" w:hAnsi="Arial" w:cs="Arial"/>
          <w:sz w:val="20"/>
        </w:rPr>
        <w:t xml:space="preserve"> </w:t>
      </w:r>
      <w:r w:rsidR="00E33A47" w:rsidRPr="00F10C29">
        <w:rPr>
          <w:rFonts w:ascii="Arial" w:hAnsi="Arial" w:cs="Arial"/>
          <w:sz w:val="20"/>
        </w:rPr>
        <w:t>godini</w:t>
      </w:r>
      <w:r w:rsidR="00D1428D">
        <w:rPr>
          <w:rFonts w:ascii="Arial" w:hAnsi="Arial" w:cs="Arial"/>
          <w:sz w:val="20"/>
        </w:rPr>
        <w:t xml:space="preserve">. </w:t>
      </w:r>
      <w:r w:rsidR="00A147B2" w:rsidRPr="00F10C29">
        <w:rPr>
          <w:rFonts w:ascii="Arial" w:hAnsi="Arial" w:cs="Arial"/>
          <w:sz w:val="20"/>
        </w:rPr>
        <w:t>Povećani rashodi odraz su intenzivnijih poslovnih aktivnosti</w:t>
      </w:r>
      <w:r w:rsidR="002D44B9" w:rsidRPr="00F10C29">
        <w:rPr>
          <w:rFonts w:ascii="Arial" w:hAnsi="Arial" w:cs="Arial"/>
          <w:sz w:val="20"/>
        </w:rPr>
        <w:t xml:space="preserve"> u odnosu na 202</w:t>
      </w:r>
      <w:r w:rsidR="000055E4">
        <w:rPr>
          <w:rFonts w:ascii="Arial" w:hAnsi="Arial" w:cs="Arial"/>
          <w:sz w:val="20"/>
        </w:rPr>
        <w:t>1</w:t>
      </w:r>
      <w:r w:rsidR="002D44B9" w:rsidRPr="00F10C29">
        <w:rPr>
          <w:rFonts w:ascii="Arial" w:hAnsi="Arial" w:cs="Arial"/>
          <w:sz w:val="20"/>
        </w:rPr>
        <w:t>. godinu</w:t>
      </w:r>
      <w:r w:rsidR="00A147B2" w:rsidRPr="00F10C29">
        <w:rPr>
          <w:rFonts w:ascii="Arial" w:hAnsi="Arial" w:cs="Arial"/>
          <w:sz w:val="20"/>
        </w:rPr>
        <w:t xml:space="preserve">, povećanja rasta plaća zaposlenika, </w:t>
      </w:r>
      <w:r w:rsidR="002D44B9" w:rsidRPr="00F10C29">
        <w:rPr>
          <w:rFonts w:ascii="Arial" w:hAnsi="Arial" w:cs="Arial"/>
          <w:sz w:val="20"/>
        </w:rPr>
        <w:t xml:space="preserve">većih </w:t>
      </w:r>
      <w:r w:rsidR="00784387" w:rsidRPr="00F10C29">
        <w:rPr>
          <w:rFonts w:ascii="Arial" w:hAnsi="Arial" w:cs="Arial"/>
          <w:sz w:val="20"/>
        </w:rPr>
        <w:t xml:space="preserve">rashoda za </w:t>
      </w:r>
      <w:r w:rsidR="002D44B9" w:rsidRPr="00F10C29">
        <w:rPr>
          <w:rFonts w:ascii="Arial" w:hAnsi="Arial" w:cs="Arial"/>
          <w:sz w:val="20"/>
        </w:rPr>
        <w:t>investicijsko održavanj</w:t>
      </w:r>
      <w:r w:rsidR="00784387" w:rsidRPr="00F10C29">
        <w:rPr>
          <w:rFonts w:ascii="Arial" w:hAnsi="Arial" w:cs="Arial"/>
          <w:sz w:val="20"/>
        </w:rPr>
        <w:t>e</w:t>
      </w:r>
      <w:r w:rsidR="002D44B9" w:rsidRPr="00F10C29">
        <w:rPr>
          <w:rFonts w:ascii="Arial" w:hAnsi="Arial" w:cs="Arial"/>
          <w:sz w:val="20"/>
        </w:rPr>
        <w:t xml:space="preserve"> škole, </w:t>
      </w:r>
      <w:r w:rsidR="00A147B2" w:rsidRPr="00F10C29">
        <w:rPr>
          <w:rFonts w:ascii="Arial" w:hAnsi="Arial" w:cs="Arial"/>
          <w:sz w:val="20"/>
        </w:rPr>
        <w:t xml:space="preserve">ali i </w:t>
      </w:r>
      <w:r w:rsidR="002D44B9" w:rsidRPr="00F10C29">
        <w:rPr>
          <w:rFonts w:ascii="Arial" w:hAnsi="Arial" w:cs="Arial"/>
          <w:sz w:val="20"/>
        </w:rPr>
        <w:t>zbog porasta cijena</w:t>
      </w:r>
      <w:r w:rsidR="00A147B2" w:rsidRPr="00F10C29">
        <w:rPr>
          <w:rFonts w:ascii="Arial" w:hAnsi="Arial" w:cs="Arial"/>
          <w:sz w:val="20"/>
        </w:rPr>
        <w:t xml:space="preserve"> energen</w:t>
      </w:r>
      <w:r w:rsidR="002D44B9" w:rsidRPr="00F10C29">
        <w:rPr>
          <w:rFonts w:ascii="Arial" w:hAnsi="Arial" w:cs="Arial"/>
          <w:sz w:val="20"/>
        </w:rPr>
        <w:t>a</w:t>
      </w:r>
      <w:r w:rsidR="00A147B2" w:rsidRPr="00F10C29">
        <w:rPr>
          <w:rFonts w:ascii="Arial" w:hAnsi="Arial" w:cs="Arial"/>
          <w:sz w:val="20"/>
        </w:rPr>
        <w:t>ta</w:t>
      </w:r>
      <w:r w:rsidR="002D44B9" w:rsidRPr="00F10C29">
        <w:rPr>
          <w:rFonts w:ascii="Arial" w:hAnsi="Arial" w:cs="Arial"/>
          <w:sz w:val="20"/>
        </w:rPr>
        <w:t xml:space="preserve"> te</w:t>
      </w:r>
      <w:r w:rsidR="00A147B2" w:rsidRPr="00F10C29">
        <w:rPr>
          <w:rFonts w:ascii="Arial" w:hAnsi="Arial" w:cs="Arial"/>
          <w:sz w:val="20"/>
        </w:rPr>
        <w:t xml:space="preserve"> drugih materijalnih rashoda na tržištu.</w:t>
      </w:r>
    </w:p>
    <w:p w14:paraId="2CA28BEB" w14:textId="5BC246B4" w:rsidR="00000976" w:rsidRPr="00F10C29" w:rsidRDefault="007231FC" w:rsidP="005C586C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Po ekonomskoj klasifikaciji rashodi s</w:t>
      </w:r>
      <w:r w:rsidR="00000976" w:rsidRPr="00F10C29">
        <w:rPr>
          <w:rFonts w:ascii="Arial" w:hAnsi="Arial" w:cs="Arial"/>
          <w:sz w:val="20"/>
        </w:rPr>
        <w:t>u iskazani na</w:t>
      </w:r>
      <w:r w:rsidR="00471523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>rashode poslovanja i rashode za nabavu nefinancijske imovine. Rashodi poslovanja ostvareni su u visini 6.</w:t>
      </w:r>
      <w:r w:rsidR="000055E4">
        <w:rPr>
          <w:rFonts w:ascii="Arial" w:hAnsi="Arial" w:cs="Arial"/>
          <w:sz w:val="20"/>
        </w:rPr>
        <w:t>636.664,55</w:t>
      </w:r>
      <w:r w:rsidR="00000976" w:rsidRPr="00F10C29">
        <w:rPr>
          <w:rFonts w:ascii="Arial" w:hAnsi="Arial" w:cs="Arial"/>
          <w:sz w:val="20"/>
        </w:rPr>
        <w:t xml:space="preserve"> kune što je 97,</w:t>
      </w:r>
      <w:r w:rsidR="000055E4">
        <w:rPr>
          <w:rFonts w:ascii="Arial" w:hAnsi="Arial" w:cs="Arial"/>
          <w:sz w:val="20"/>
        </w:rPr>
        <w:t>97</w:t>
      </w:r>
      <w:r w:rsidR="00000976" w:rsidRPr="00F10C29">
        <w:rPr>
          <w:rFonts w:ascii="Arial" w:hAnsi="Arial" w:cs="Arial"/>
          <w:sz w:val="20"/>
        </w:rPr>
        <w:t xml:space="preserve">% u odnosu na plan, a </w:t>
      </w:r>
      <w:r w:rsidR="000055E4">
        <w:rPr>
          <w:rFonts w:ascii="Arial" w:hAnsi="Arial" w:cs="Arial"/>
          <w:sz w:val="20"/>
        </w:rPr>
        <w:t>106,67</w:t>
      </w:r>
      <w:r w:rsidR="00000976" w:rsidRPr="00F10C29">
        <w:rPr>
          <w:rFonts w:ascii="Arial" w:hAnsi="Arial" w:cs="Arial"/>
          <w:sz w:val="20"/>
        </w:rPr>
        <w:t>% u odnosu na izvršenje iz 202</w:t>
      </w:r>
      <w:r w:rsidR="000055E4">
        <w:rPr>
          <w:rFonts w:ascii="Arial" w:hAnsi="Arial" w:cs="Arial"/>
          <w:sz w:val="20"/>
        </w:rPr>
        <w:t>1</w:t>
      </w:r>
      <w:r w:rsidR="00000976" w:rsidRPr="00F10C29">
        <w:rPr>
          <w:rFonts w:ascii="Arial" w:hAnsi="Arial" w:cs="Arial"/>
          <w:sz w:val="20"/>
        </w:rPr>
        <w:t>.</w:t>
      </w:r>
      <w:r w:rsidR="00D1428D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godine. Rashodi za nabavu nefinancijske imovine ostvareni su u visini </w:t>
      </w:r>
      <w:r w:rsidR="000055E4">
        <w:rPr>
          <w:rFonts w:ascii="Arial" w:hAnsi="Arial" w:cs="Arial"/>
          <w:sz w:val="20"/>
        </w:rPr>
        <w:t>161.542,61</w:t>
      </w:r>
      <w:r w:rsidR="004B0BE8" w:rsidRPr="00F10C29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 xml:space="preserve"> kune što je </w:t>
      </w:r>
      <w:r w:rsidR="000055E4">
        <w:rPr>
          <w:rFonts w:ascii="Arial" w:hAnsi="Arial" w:cs="Arial"/>
          <w:sz w:val="20"/>
        </w:rPr>
        <w:t>34,63</w:t>
      </w:r>
      <w:r w:rsidR="00000976" w:rsidRPr="00F10C29">
        <w:rPr>
          <w:rFonts w:ascii="Arial" w:hAnsi="Arial" w:cs="Arial"/>
          <w:sz w:val="20"/>
        </w:rPr>
        <w:t>% u odnosu na plan</w:t>
      </w:r>
      <w:r w:rsidR="00D1428D">
        <w:rPr>
          <w:rFonts w:ascii="Arial" w:hAnsi="Arial" w:cs="Arial"/>
          <w:sz w:val="20"/>
        </w:rPr>
        <w:t xml:space="preserve"> (</w:t>
      </w:r>
      <w:r w:rsidR="000055E4">
        <w:rPr>
          <w:rFonts w:ascii="Arial" w:hAnsi="Arial" w:cs="Arial"/>
          <w:sz w:val="20"/>
        </w:rPr>
        <w:t xml:space="preserve">u plan uvršten projekt ugradnje </w:t>
      </w:r>
      <w:proofErr w:type="spellStart"/>
      <w:r w:rsidR="000055E4">
        <w:rPr>
          <w:rFonts w:ascii="Arial" w:hAnsi="Arial" w:cs="Arial"/>
          <w:sz w:val="20"/>
        </w:rPr>
        <w:t>fotonaponskih</w:t>
      </w:r>
      <w:proofErr w:type="spellEnd"/>
      <w:r w:rsidR="000055E4">
        <w:rPr>
          <w:rFonts w:ascii="Arial" w:hAnsi="Arial" w:cs="Arial"/>
          <w:sz w:val="20"/>
        </w:rPr>
        <w:t xml:space="preserve"> panela na krovu škole)</w:t>
      </w:r>
      <w:r w:rsidR="00000976" w:rsidRPr="00F10C29">
        <w:rPr>
          <w:rFonts w:ascii="Arial" w:hAnsi="Arial" w:cs="Arial"/>
          <w:sz w:val="20"/>
        </w:rPr>
        <w:t xml:space="preserve">, a </w:t>
      </w:r>
      <w:r w:rsidR="000055E4">
        <w:rPr>
          <w:rFonts w:ascii="Arial" w:hAnsi="Arial" w:cs="Arial"/>
          <w:sz w:val="20"/>
        </w:rPr>
        <w:t>243,92</w:t>
      </w:r>
      <w:r w:rsidR="00000976" w:rsidRPr="00F10C29">
        <w:rPr>
          <w:rFonts w:ascii="Arial" w:hAnsi="Arial" w:cs="Arial"/>
          <w:sz w:val="20"/>
        </w:rPr>
        <w:t>% u odnosu na izvršenje iz 202</w:t>
      </w:r>
      <w:r w:rsidR="000055E4">
        <w:rPr>
          <w:rFonts w:ascii="Arial" w:hAnsi="Arial" w:cs="Arial"/>
          <w:sz w:val="20"/>
        </w:rPr>
        <w:t>1</w:t>
      </w:r>
      <w:r w:rsidR="00000976" w:rsidRPr="00F10C29">
        <w:rPr>
          <w:rFonts w:ascii="Arial" w:hAnsi="Arial" w:cs="Arial"/>
          <w:sz w:val="20"/>
        </w:rPr>
        <w:t>.</w:t>
      </w:r>
      <w:r w:rsidR="00D1428D">
        <w:rPr>
          <w:rFonts w:ascii="Arial" w:hAnsi="Arial" w:cs="Arial"/>
          <w:sz w:val="20"/>
        </w:rPr>
        <w:t xml:space="preserve"> </w:t>
      </w:r>
      <w:r w:rsidR="00000976" w:rsidRPr="00F10C29">
        <w:rPr>
          <w:rFonts w:ascii="Arial" w:hAnsi="Arial" w:cs="Arial"/>
          <w:sz w:val="20"/>
        </w:rPr>
        <w:t>godine.</w:t>
      </w:r>
    </w:p>
    <w:p w14:paraId="72DE7396" w14:textId="5FD17E82" w:rsidR="004B0BE8" w:rsidRDefault="004B0BE8" w:rsidP="005C586C">
      <w:pPr>
        <w:jc w:val="both"/>
        <w:rPr>
          <w:rFonts w:ascii="Arial" w:hAnsi="Arial" w:cs="Arial"/>
          <w:sz w:val="20"/>
        </w:rPr>
      </w:pPr>
    </w:p>
    <w:p w14:paraId="30B7F2E8" w14:textId="68AF9401" w:rsidR="00471523" w:rsidRDefault="000055E4" w:rsidP="00471523">
      <w:pPr>
        <w:jc w:val="both"/>
        <w:rPr>
          <w:rFonts w:ascii="Arial" w:hAnsi="Arial" w:cs="Arial"/>
          <w:sz w:val="20"/>
        </w:rPr>
      </w:pPr>
      <w:r w:rsidRPr="00F10C29">
        <w:rPr>
          <w:rFonts w:ascii="Arial" w:hAnsi="Arial" w:cs="Arial"/>
          <w:sz w:val="20"/>
        </w:rPr>
        <w:t>Preneseni višak prihoda koji je donesen iz 202</w:t>
      </w:r>
      <w:r>
        <w:rPr>
          <w:rFonts w:ascii="Arial" w:hAnsi="Arial" w:cs="Arial"/>
          <w:sz w:val="20"/>
        </w:rPr>
        <w:t>1</w:t>
      </w:r>
      <w:r w:rsidRPr="00F10C29">
        <w:rPr>
          <w:rFonts w:ascii="Arial" w:hAnsi="Arial" w:cs="Arial"/>
          <w:sz w:val="20"/>
        </w:rPr>
        <w:t xml:space="preserve">. godine iznosio je </w:t>
      </w:r>
      <w:r>
        <w:rPr>
          <w:rFonts w:ascii="Arial" w:hAnsi="Arial" w:cs="Arial"/>
          <w:sz w:val="20"/>
        </w:rPr>
        <w:t>236.589,70</w:t>
      </w:r>
      <w:r w:rsidRPr="00F10C29">
        <w:rPr>
          <w:rFonts w:ascii="Arial" w:hAnsi="Arial" w:cs="Arial"/>
          <w:sz w:val="20"/>
        </w:rPr>
        <w:t xml:space="preserve"> kuna. </w:t>
      </w:r>
      <w:r>
        <w:rPr>
          <w:rFonts w:ascii="Arial" w:hAnsi="Arial" w:cs="Arial"/>
          <w:sz w:val="20"/>
        </w:rPr>
        <w:t xml:space="preserve">Isti se </w:t>
      </w:r>
      <w:r w:rsidRPr="00F10C29">
        <w:rPr>
          <w:rFonts w:ascii="Arial" w:hAnsi="Arial" w:cs="Arial"/>
          <w:sz w:val="20"/>
        </w:rPr>
        <w:t>sastoj</w:t>
      </w:r>
      <w:r w:rsidR="00EB1266">
        <w:rPr>
          <w:rFonts w:ascii="Arial" w:hAnsi="Arial" w:cs="Arial"/>
          <w:sz w:val="20"/>
        </w:rPr>
        <w:t xml:space="preserve">ao </w:t>
      </w:r>
      <w:r>
        <w:rPr>
          <w:rFonts w:ascii="Arial" w:hAnsi="Arial" w:cs="Arial"/>
          <w:sz w:val="20"/>
        </w:rPr>
        <w:t>od</w:t>
      </w:r>
      <w:r w:rsidRPr="00F10C29">
        <w:rPr>
          <w:rFonts w:ascii="Arial" w:hAnsi="Arial" w:cs="Arial"/>
          <w:sz w:val="20"/>
        </w:rPr>
        <w:t xml:space="preserve"> sredstava za provođenje </w:t>
      </w:r>
      <w:proofErr w:type="spellStart"/>
      <w:r w:rsidRPr="00F10C29">
        <w:rPr>
          <w:rFonts w:ascii="Arial" w:hAnsi="Arial" w:cs="Arial"/>
          <w:sz w:val="20"/>
        </w:rPr>
        <w:t>Erasmus</w:t>
      </w:r>
      <w:proofErr w:type="spellEnd"/>
      <w:r>
        <w:rPr>
          <w:rFonts w:ascii="Arial" w:hAnsi="Arial" w:cs="Arial"/>
          <w:sz w:val="20"/>
        </w:rPr>
        <w:t>+</w:t>
      </w:r>
      <w:r w:rsidRPr="00F10C29">
        <w:rPr>
          <w:rFonts w:ascii="Arial" w:hAnsi="Arial" w:cs="Arial"/>
          <w:sz w:val="20"/>
        </w:rPr>
        <w:t xml:space="preserve">  projekta u iznosu 4.903,57 kuna, 1.528,00 kn od Grada Buzeta za Školsko sportsko društvo i nabavu </w:t>
      </w:r>
      <w:proofErr w:type="spellStart"/>
      <w:r w:rsidRPr="00F10C29">
        <w:rPr>
          <w:rFonts w:ascii="Arial" w:hAnsi="Arial" w:cs="Arial"/>
          <w:sz w:val="20"/>
        </w:rPr>
        <w:t>filamenta</w:t>
      </w:r>
      <w:proofErr w:type="spellEnd"/>
      <w:r w:rsidRPr="00F10C29">
        <w:rPr>
          <w:rFonts w:ascii="Arial" w:hAnsi="Arial" w:cs="Arial"/>
          <w:sz w:val="20"/>
        </w:rPr>
        <w:t>, 5.0</w:t>
      </w:r>
      <w:r w:rsidR="00D1428D">
        <w:rPr>
          <w:rFonts w:ascii="Arial" w:hAnsi="Arial" w:cs="Arial"/>
          <w:sz w:val="20"/>
        </w:rPr>
        <w:t>00,00 donacija za 3D printer, a</w:t>
      </w:r>
      <w:r w:rsidRPr="00F10C29">
        <w:rPr>
          <w:rFonts w:ascii="Arial" w:hAnsi="Arial" w:cs="Arial"/>
          <w:sz w:val="20"/>
        </w:rPr>
        <w:t xml:space="preserve"> 225.158,13 </w:t>
      </w:r>
      <w:r w:rsidR="00D1428D">
        <w:rPr>
          <w:rFonts w:ascii="Arial" w:hAnsi="Arial" w:cs="Arial"/>
          <w:sz w:val="20"/>
        </w:rPr>
        <w:t xml:space="preserve">kuna </w:t>
      </w:r>
      <w:r w:rsidR="00EB1266">
        <w:rPr>
          <w:rFonts w:ascii="Arial" w:hAnsi="Arial" w:cs="Arial"/>
          <w:sz w:val="20"/>
        </w:rPr>
        <w:t>bila</w:t>
      </w:r>
      <w:r w:rsidR="00D1428D">
        <w:rPr>
          <w:rFonts w:ascii="Arial" w:hAnsi="Arial" w:cs="Arial"/>
          <w:sz w:val="20"/>
        </w:rPr>
        <w:t xml:space="preserve"> su</w:t>
      </w:r>
      <w:r w:rsidR="00EB1266">
        <w:rPr>
          <w:rFonts w:ascii="Arial" w:hAnsi="Arial" w:cs="Arial"/>
          <w:sz w:val="20"/>
        </w:rPr>
        <w:t xml:space="preserve"> </w:t>
      </w:r>
      <w:r w:rsidRPr="00F10C29">
        <w:rPr>
          <w:rFonts w:ascii="Arial" w:hAnsi="Arial" w:cs="Arial"/>
          <w:sz w:val="20"/>
        </w:rPr>
        <w:t>sredstva iz vlastitih prihoda poslovanja.</w:t>
      </w:r>
      <w:r>
        <w:rPr>
          <w:rFonts w:ascii="Arial" w:hAnsi="Arial" w:cs="Arial"/>
          <w:sz w:val="20"/>
        </w:rPr>
        <w:t xml:space="preserve"> </w:t>
      </w:r>
    </w:p>
    <w:p w14:paraId="25AFE40D" w14:textId="77777777" w:rsidR="00471523" w:rsidRDefault="00471523" w:rsidP="000055E4">
      <w:pPr>
        <w:ind w:firstLine="360"/>
        <w:jc w:val="both"/>
        <w:rPr>
          <w:rFonts w:ascii="Arial" w:hAnsi="Arial" w:cs="Arial"/>
          <w:sz w:val="20"/>
        </w:rPr>
      </w:pPr>
    </w:p>
    <w:p w14:paraId="65A04E54" w14:textId="4424E932" w:rsidR="000055E4" w:rsidRPr="00F10C29" w:rsidRDefault="000055E4" w:rsidP="004715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Krajem 2022. godine ostvaren je višak prihoda koji se prenosi u 2023. godinu u iznosu 233.029,64 kuna.</w:t>
      </w:r>
      <w:r w:rsidRPr="00F10C29">
        <w:rPr>
          <w:rFonts w:ascii="Arial" w:hAnsi="Arial" w:cs="Arial"/>
          <w:sz w:val="20"/>
        </w:rPr>
        <w:t xml:space="preserve"> Navedeni višak sastoji od sredstava za provođenje </w:t>
      </w:r>
      <w:proofErr w:type="spellStart"/>
      <w:r w:rsidRPr="00F10C29">
        <w:rPr>
          <w:rFonts w:ascii="Arial" w:hAnsi="Arial" w:cs="Arial"/>
          <w:sz w:val="20"/>
        </w:rPr>
        <w:t>Erasmus</w:t>
      </w:r>
      <w:proofErr w:type="spellEnd"/>
      <w:r>
        <w:rPr>
          <w:rFonts w:ascii="Arial" w:hAnsi="Arial" w:cs="Arial"/>
          <w:sz w:val="20"/>
        </w:rPr>
        <w:t>+</w:t>
      </w:r>
      <w:r w:rsidRPr="00F10C29">
        <w:rPr>
          <w:rFonts w:ascii="Arial" w:hAnsi="Arial" w:cs="Arial"/>
          <w:sz w:val="20"/>
        </w:rPr>
        <w:t xml:space="preserve">  projekta u iznosu </w:t>
      </w:r>
      <w:r w:rsidR="00411434">
        <w:rPr>
          <w:rFonts w:ascii="Arial" w:hAnsi="Arial" w:cs="Arial"/>
          <w:sz w:val="20"/>
        </w:rPr>
        <w:t>31.528,31</w:t>
      </w:r>
      <w:r w:rsidRPr="00F10C29">
        <w:rPr>
          <w:rFonts w:ascii="Arial" w:hAnsi="Arial" w:cs="Arial"/>
          <w:sz w:val="20"/>
        </w:rPr>
        <w:t xml:space="preserve"> kuna, 1.</w:t>
      </w:r>
      <w:r w:rsidR="00411434">
        <w:rPr>
          <w:rFonts w:ascii="Arial" w:hAnsi="Arial" w:cs="Arial"/>
          <w:sz w:val="20"/>
        </w:rPr>
        <w:t>000</w:t>
      </w:r>
      <w:r w:rsidRPr="00F10C29">
        <w:rPr>
          <w:rFonts w:ascii="Arial" w:hAnsi="Arial" w:cs="Arial"/>
          <w:sz w:val="20"/>
        </w:rPr>
        <w:t xml:space="preserve">,00 kn od Grada Buzeta za Školsko sportsko društvo, </w:t>
      </w:r>
      <w:r w:rsidR="00411434">
        <w:rPr>
          <w:rFonts w:ascii="Arial" w:hAnsi="Arial" w:cs="Arial"/>
          <w:sz w:val="20"/>
        </w:rPr>
        <w:t>11.300</w:t>
      </w:r>
      <w:r w:rsidRPr="00F10C29">
        <w:rPr>
          <w:rFonts w:ascii="Arial" w:hAnsi="Arial" w:cs="Arial"/>
          <w:sz w:val="20"/>
        </w:rPr>
        <w:t>,00</w:t>
      </w:r>
      <w:r w:rsidR="00411434">
        <w:rPr>
          <w:rFonts w:ascii="Arial" w:hAnsi="Arial" w:cs="Arial"/>
          <w:sz w:val="20"/>
        </w:rPr>
        <w:t xml:space="preserve"> kuna</w:t>
      </w:r>
      <w:r w:rsidRPr="00F10C29">
        <w:rPr>
          <w:rFonts w:ascii="Arial" w:hAnsi="Arial" w:cs="Arial"/>
          <w:sz w:val="20"/>
        </w:rPr>
        <w:t xml:space="preserve"> donacija za</w:t>
      </w:r>
      <w:r w:rsidR="00411434">
        <w:rPr>
          <w:rFonts w:ascii="Arial" w:hAnsi="Arial" w:cs="Arial"/>
          <w:sz w:val="20"/>
        </w:rPr>
        <w:t xml:space="preserve"> maturante</w:t>
      </w:r>
      <w:r w:rsidRPr="00F10C29">
        <w:rPr>
          <w:rFonts w:ascii="Arial" w:hAnsi="Arial" w:cs="Arial"/>
          <w:sz w:val="20"/>
        </w:rPr>
        <w:t>,</w:t>
      </w:r>
      <w:r w:rsidR="00411434">
        <w:rPr>
          <w:rFonts w:ascii="Arial" w:hAnsi="Arial" w:cs="Arial"/>
          <w:sz w:val="20"/>
        </w:rPr>
        <w:t xml:space="preserve"> 860,34 kune od nadležnog  Ministarstva za uredski pribor i sportsku opremu za učenike iz Ukrajine, 446,78 kuna su sredstva Županijskog stručnog vijeća za preventivne programe</w:t>
      </w:r>
      <w:r w:rsidR="00D1428D">
        <w:rPr>
          <w:rFonts w:ascii="Arial" w:hAnsi="Arial" w:cs="Arial"/>
          <w:sz w:val="20"/>
        </w:rPr>
        <w:t xml:space="preserve">, a </w:t>
      </w:r>
      <w:r w:rsidR="00411434">
        <w:rPr>
          <w:rFonts w:ascii="Arial" w:hAnsi="Arial" w:cs="Arial"/>
          <w:sz w:val="20"/>
        </w:rPr>
        <w:t>187.894,21</w:t>
      </w:r>
      <w:r w:rsidR="00D1428D">
        <w:rPr>
          <w:rFonts w:ascii="Arial" w:hAnsi="Arial" w:cs="Arial"/>
          <w:sz w:val="20"/>
        </w:rPr>
        <w:t xml:space="preserve"> kuna odnosi se na</w:t>
      </w:r>
      <w:r w:rsidRPr="00F10C29">
        <w:rPr>
          <w:rFonts w:ascii="Arial" w:hAnsi="Arial" w:cs="Arial"/>
          <w:sz w:val="20"/>
        </w:rPr>
        <w:t xml:space="preserve"> sredstva iz vlastitih prihoda poslovanja.</w:t>
      </w:r>
    </w:p>
    <w:p w14:paraId="29405666" w14:textId="51E9C89A" w:rsidR="000055E4" w:rsidRPr="00F10C29" w:rsidRDefault="000055E4" w:rsidP="000055E4">
      <w:pPr>
        <w:ind w:firstLine="360"/>
        <w:jc w:val="both"/>
        <w:rPr>
          <w:rFonts w:ascii="Arial" w:hAnsi="Arial" w:cs="Arial"/>
          <w:sz w:val="20"/>
        </w:rPr>
      </w:pPr>
    </w:p>
    <w:p w14:paraId="243F4433" w14:textId="77777777" w:rsidR="000055E4" w:rsidRPr="00F10C29" w:rsidRDefault="000055E4" w:rsidP="000055E4">
      <w:pPr>
        <w:jc w:val="both"/>
        <w:rPr>
          <w:rFonts w:ascii="Arial" w:hAnsi="Arial" w:cs="Arial"/>
          <w:sz w:val="20"/>
        </w:rPr>
      </w:pPr>
    </w:p>
    <w:p w14:paraId="5971088D" w14:textId="77777777" w:rsidR="00CA25F4" w:rsidRDefault="00CA25F4" w:rsidP="005C586C">
      <w:pPr>
        <w:jc w:val="both"/>
        <w:rPr>
          <w:rFonts w:ascii="Arial" w:hAnsi="Arial" w:cs="Arial"/>
          <w:sz w:val="22"/>
          <w:szCs w:val="22"/>
        </w:rPr>
      </w:pPr>
    </w:p>
    <w:p w14:paraId="6061F62B" w14:textId="77777777" w:rsidR="00A93FA8" w:rsidRDefault="00A93FA8" w:rsidP="00A93FA8">
      <w:pPr>
        <w:jc w:val="both"/>
        <w:rPr>
          <w:rFonts w:ascii="Arial" w:hAnsi="Arial" w:cs="Arial"/>
          <w:b/>
          <w:sz w:val="22"/>
          <w:szCs w:val="22"/>
        </w:rPr>
      </w:pPr>
    </w:p>
    <w:p w14:paraId="292DAD82" w14:textId="014779A0" w:rsidR="00A93FA8" w:rsidRPr="00EC575F" w:rsidRDefault="00A93FA8" w:rsidP="00A93F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CA25F4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5E33E0">
        <w:rPr>
          <w:rFonts w:ascii="Arial" w:hAnsi="Arial" w:cs="Arial"/>
          <w:b/>
          <w:sz w:val="22"/>
          <w:szCs w:val="22"/>
        </w:rPr>
        <w:t xml:space="preserve">    </w:t>
      </w:r>
      <w:bookmarkStart w:id="0" w:name="_GoBack"/>
      <w:r w:rsidRPr="00EC575F">
        <w:rPr>
          <w:rFonts w:ascii="Arial" w:hAnsi="Arial" w:cs="Arial"/>
          <w:sz w:val="22"/>
          <w:szCs w:val="22"/>
        </w:rPr>
        <w:t>Ravnateljica</w:t>
      </w:r>
    </w:p>
    <w:p w14:paraId="58661E8E" w14:textId="26625E32" w:rsidR="00A93FA8" w:rsidRPr="00EC575F" w:rsidRDefault="00A93FA8" w:rsidP="00C5253C">
      <w:pPr>
        <w:jc w:val="both"/>
        <w:rPr>
          <w:rFonts w:ascii="Arial" w:hAnsi="Arial" w:cs="Arial"/>
          <w:sz w:val="22"/>
          <w:szCs w:val="22"/>
        </w:rPr>
      </w:pP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ab/>
      </w:r>
      <w:r w:rsidR="00CA25F4" w:rsidRPr="00EC575F">
        <w:rPr>
          <w:rFonts w:ascii="Arial" w:hAnsi="Arial" w:cs="Arial"/>
          <w:sz w:val="22"/>
          <w:szCs w:val="22"/>
        </w:rPr>
        <w:t xml:space="preserve">          </w:t>
      </w:r>
      <w:r w:rsidR="005E33E0" w:rsidRPr="00EC575F">
        <w:rPr>
          <w:rFonts w:ascii="Arial" w:hAnsi="Arial" w:cs="Arial"/>
          <w:sz w:val="22"/>
          <w:szCs w:val="22"/>
        </w:rPr>
        <w:tab/>
      </w:r>
      <w:r w:rsidR="005E33E0" w:rsidRPr="00EC575F">
        <w:rPr>
          <w:rFonts w:ascii="Arial" w:hAnsi="Arial" w:cs="Arial"/>
          <w:sz w:val="22"/>
          <w:szCs w:val="22"/>
        </w:rPr>
        <w:tab/>
      </w:r>
      <w:r w:rsidRPr="00EC575F">
        <w:rPr>
          <w:rFonts w:ascii="Arial" w:hAnsi="Arial" w:cs="Arial"/>
          <w:sz w:val="22"/>
          <w:szCs w:val="22"/>
        </w:rPr>
        <w:t>Margareta Gumilar, prof.</w:t>
      </w:r>
      <w:bookmarkEnd w:id="0"/>
    </w:p>
    <w:sectPr w:rsidR="00A93FA8" w:rsidRPr="00EC575F" w:rsidSect="0098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346F1"/>
    <w:multiLevelType w:val="hybridMultilevel"/>
    <w:tmpl w:val="3E1070CA"/>
    <w:lvl w:ilvl="0" w:tplc="4AEC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0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C"/>
    <w:rsid w:val="00000976"/>
    <w:rsid w:val="000055E4"/>
    <w:rsid w:val="000202B3"/>
    <w:rsid w:val="0003008C"/>
    <w:rsid w:val="000411CE"/>
    <w:rsid w:val="00075D00"/>
    <w:rsid w:val="000C0B98"/>
    <w:rsid w:val="000E3BB9"/>
    <w:rsid w:val="00113626"/>
    <w:rsid w:val="00127141"/>
    <w:rsid w:val="001468D2"/>
    <w:rsid w:val="001842E8"/>
    <w:rsid w:val="001C6286"/>
    <w:rsid w:val="001E530F"/>
    <w:rsid w:val="001E7EDF"/>
    <w:rsid w:val="00212413"/>
    <w:rsid w:val="002126E4"/>
    <w:rsid w:val="00273314"/>
    <w:rsid w:val="00297EDD"/>
    <w:rsid w:val="002B65E4"/>
    <w:rsid w:val="002D44B9"/>
    <w:rsid w:val="003209C4"/>
    <w:rsid w:val="00392013"/>
    <w:rsid w:val="00392744"/>
    <w:rsid w:val="003B4F1D"/>
    <w:rsid w:val="003F338F"/>
    <w:rsid w:val="004021F3"/>
    <w:rsid w:val="00411434"/>
    <w:rsid w:val="0044289E"/>
    <w:rsid w:val="004527AB"/>
    <w:rsid w:val="00471523"/>
    <w:rsid w:val="00477DC8"/>
    <w:rsid w:val="0049796C"/>
    <w:rsid w:val="004B0BE8"/>
    <w:rsid w:val="004C48CA"/>
    <w:rsid w:val="00543127"/>
    <w:rsid w:val="005C1C06"/>
    <w:rsid w:val="005C1D78"/>
    <w:rsid w:val="005C586C"/>
    <w:rsid w:val="005D4BDA"/>
    <w:rsid w:val="005E33E0"/>
    <w:rsid w:val="005F1087"/>
    <w:rsid w:val="005F5721"/>
    <w:rsid w:val="00600136"/>
    <w:rsid w:val="006127CD"/>
    <w:rsid w:val="006241AC"/>
    <w:rsid w:val="00641401"/>
    <w:rsid w:val="00646C8C"/>
    <w:rsid w:val="00655637"/>
    <w:rsid w:val="00666D5A"/>
    <w:rsid w:val="00670DB8"/>
    <w:rsid w:val="0072243C"/>
    <w:rsid w:val="007231FC"/>
    <w:rsid w:val="00725165"/>
    <w:rsid w:val="00784387"/>
    <w:rsid w:val="00793C8C"/>
    <w:rsid w:val="007A3142"/>
    <w:rsid w:val="008152EA"/>
    <w:rsid w:val="00817C4B"/>
    <w:rsid w:val="00817F44"/>
    <w:rsid w:val="00825143"/>
    <w:rsid w:val="008345D6"/>
    <w:rsid w:val="00836946"/>
    <w:rsid w:val="008570E0"/>
    <w:rsid w:val="008E51B5"/>
    <w:rsid w:val="009069EE"/>
    <w:rsid w:val="00914A01"/>
    <w:rsid w:val="00981A2B"/>
    <w:rsid w:val="00992069"/>
    <w:rsid w:val="009B3DFC"/>
    <w:rsid w:val="009B7699"/>
    <w:rsid w:val="00A11701"/>
    <w:rsid w:val="00A147B2"/>
    <w:rsid w:val="00A505D5"/>
    <w:rsid w:val="00A709E0"/>
    <w:rsid w:val="00A73B38"/>
    <w:rsid w:val="00A93FA8"/>
    <w:rsid w:val="00AA5730"/>
    <w:rsid w:val="00AB51A9"/>
    <w:rsid w:val="00AB79A6"/>
    <w:rsid w:val="00AF1392"/>
    <w:rsid w:val="00B02F9C"/>
    <w:rsid w:val="00B14CED"/>
    <w:rsid w:val="00B234D3"/>
    <w:rsid w:val="00B24A60"/>
    <w:rsid w:val="00B31FB0"/>
    <w:rsid w:val="00B43829"/>
    <w:rsid w:val="00B50754"/>
    <w:rsid w:val="00B876C8"/>
    <w:rsid w:val="00B96A0D"/>
    <w:rsid w:val="00BA2C63"/>
    <w:rsid w:val="00C400FC"/>
    <w:rsid w:val="00C5253C"/>
    <w:rsid w:val="00C53D17"/>
    <w:rsid w:val="00C9218C"/>
    <w:rsid w:val="00C9389C"/>
    <w:rsid w:val="00CA25F4"/>
    <w:rsid w:val="00CE2247"/>
    <w:rsid w:val="00D1428D"/>
    <w:rsid w:val="00D22769"/>
    <w:rsid w:val="00D2333E"/>
    <w:rsid w:val="00D41995"/>
    <w:rsid w:val="00D9659C"/>
    <w:rsid w:val="00DB0BA5"/>
    <w:rsid w:val="00E024F4"/>
    <w:rsid w:val="00E33A47"/>
    <w:rsid w:val="00E36679"/>
    <w:rsid w:val="00E36AC6"/>
    <w:rsid w:val="00E514D0"/>
    <w:rsid w:val="00E67E91"/>
    <w:rsid w:val="00E86FA1"/>
    <w:rsid w:val="00EB1266"/>
    <w:rsid w:val="00EB3CD9"/>
    <w:rsid w:val="00EC575F"/>
    <w:rsid w:val="00EC5BBF"/>
    <w:rsid w:val="00EE0322"/>
    <w:rsid w:val="00EF0B70"/>
    <w:rsid w:val="00F10C29"/>
    <w:rsid w:val="00F5005B"/>
    <w:rsid w:val="00F50DA7"/>
    <w:rsid w:val="00F544F7"/>
    <w:rsid w:val="00F701FD"/>
    <w:rsid w:val="00FC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C31"/>
  <w15:docId w15:val="{385F3BBC-A870-4467-8F5E-1DB80BB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6A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6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6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6A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6A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6A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6A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6A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6A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6A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6A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6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6A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96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6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A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6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B96A0D"/>
    <w:rPr>
      <w:b/>
      <w:bCs/>
    </w:rPr>
  </w:style>
  <w:style w:type="character" w:styleId="Istaknuto">
    <w:name w:val="Emphasis"/>
    <w:uiPriority w:val="20"/>
    <w:qFormat/>
    <w:rsid w:val="00B96A0D"/>
    <w:rPr>
      <w:i/>
      <w:iCs/>
    </w:rPr>
  </w:style>
  <w:style w:type="paragraph" w:styleId="Bezproreda">
    <w:name w:val="No Spacing"/>
    <w:basedOn w:val="Normal"/>
    <w:uiPriority w:val="1"/>
    <w:qFormat/>
    <w:rsid w:val="00B96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23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B96A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6A0D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6A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6A0D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B96A0D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B96A0D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B96A0D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B96A0D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B96A0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96A0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8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Lučana Agapito</cp:lastModifiedBy>
  <cp:revision>13</cp:revision>
  <cp:lastPrinted>2021-05-20T09:43:00Z</cp:lastPrinted>
  <dcterms:created xsi:type="dcterms:W3CDTF">2023-03-20T09:04:00Z</dcterms:created>
  <dcterms:modified xsi:type="dcterms:W3CDTF">2023-03-31T11:34:00Z</dcterms:modified>
</cp:coreProperties>
</file>